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DB4" w:rsidRDefault="00153DB4">
      <w:pPr>
        <w:pStyle w:val="ConsPlusTitlePage"/>
      </w:pPr>
      <w:r>
        <w:br/>
      </w:r>
    </w:p>
    <w:p w:rsidR="00153DB4" w:rsidRDefault="00153DB4">
      <w:pPr>
        <w:pStyle w:val="ConsPlusNormal"/>
        <w:outlineLvl w:val="0"/>
      </w:pPr>
    </w:p>
    <w:p w:rsidR="00153DB4" w:rsidRPr="00645688" w:rsidRDefault="00153DB4">
      <w:pPr>
        <w:pStyle w:val="ConsPlusNormal"/>
        <w:ind w:firstLine="540"/>
        <w:jc w:val="both"/>
        <w:rPr>
          <w:rFonts w:ascii="Arial" w:hAnsi="Arial" w:cs="Arial"/>
          <w:sz w:val="28"/>
          <w:szCs w:val="28"/>
        </w:rPr>
      </w:pPr>
      <w:r w:rsidRPr="00645688">
        <w:rPr>
          <w:rFonts w:ascii="Arial" w:hAnsi="Arial" w:cs="Arial"/>
          <w:b/>
          <w:sz w:val="28"/>
          <w:szCs w:val="28"/>
        </w:rPr>
        <w:t>Вопрос:</w:t>
      </w:r>
      <w:r w:rsidRPr="00645688">
        <w:rPr>
          <w:rFonts w:ascii="Arial" w:hAnsi="Arial" w:cs="Arial"/>
          <w:sz w:val="28"/>
          <w:szCs w:val="28"/>
        </w:rPr>
        <w:t xml:space="preserve"> Индивидуальный предприниматель осуществляет розничную и оптовую продажу автозапчастей и моторных масел через магазин. Имеет ли право индивидуальный предприниматель в отношении оптовой продажи всех товаров, а также розничной продажи моторных масел применять УСН, а в отношении розничной продажи автозапчастей применять ПСН?</w:t>
      </w:r>
    </w:p>
    <w:p w:rsidR="00153DB4" w:rsidRPr="00645688" w:rsidRDefault="00153DB4">
      <w:pPr>
        <w:pStyle w:val="ConsPlusNormal"/>
        <w:rPr>
          <w:rFonts w:ascii="Arial" w:hAnsi="Arial" w:cs="Arial"/>
          <w:sz w:val="28"/>
          <w:szCs w:val="28"/>
        </w:rPr>
      </w:pPr>
    </w:p>
    <w:p w:rsidR="00153DB4" w:rsidRPr="00645688" w:rsidRDefault="00153DB4">
      <w:pPr>
        <w:pStyle w:val="ConsPlusNormal"/>
        <w:ind w:firstLine="540"/>
        <w:jc w:val="both"/>
        <w:rPr>
          <w:rFonts w:ascii="Arial" w:hAnsi="Arial" w:cs="Arial"/>
          <w:sz w:val="28"/>
          <w:szCs w:val="28"/>
        </w:rPr>
      </w:pPr>
      <w:r w:rsidRPr="00645688">
        <w:rPr>
          <w:rFonts w:ascii="Arial" w:hAnsi="Arial" w:cs="Arial"/>
          <w:b/>
          <w:sz w:val="28"/>
          <w:szCs w:val="28"/>
        </w:rPr>
        <w:t>Ответ:</w:t>
      </w:r>
      <w:r w:rsidRPr="00645688">
        <w:rPr>
          <w:rFonts w:ascii="Arial" w:hAnsi="Arial" w:cs="Arial"/>
          <w:sz w:val="28"/>
          <w:szCs w:val="28"/>
        </w:rPr>
        <w:t xml:space="preserve"> Индивидуальный предприниматель вправе применять УСН в отношении оптовой продажи автозапчастей и всех продаж моторных масел, а в отношении розничной продажи автозапчастей применять ПСН.</w:t>
      </w:r>
    </w:p>
    <w:p w:rsidR="00153DB4" w:rsidRPr="00645688" w:rsidRDefault="00153DB4">
      <w:pPr>
        <w:pStyle w:val="ConsPlusNormal"/>
        <w:spacing w:before="220"/>
        <w:ind w:firstLine="540"/>
        <w:jc w:val="both"/>
        <w:rPr>
          <w:rFonts w:ascii="Arial" w:hAnsi="Arial" w:cs="Arial"/>
          <w:sz w:val="28"/>
          <w:szCs w:val="28"/>
        </w:rPr>
      </w:pPr>
      <w:r w:rsidRPr="00645688">
        <w:rPr>
          <w:rFonts w:ascii="Arial" w:hAnsi="Arial" w:cs="Arial"/>
          <w:sz w:val="28"/>
          <w:szCs w:val="28"/>
        </w:rPr>
        <w:t xml:space="preserve">Положениями </w:t>
      </w:r>
      <w:hyperlink r:id="rId5" w:history="1">
        <w:r w:rsidRPr="00645688">
          <w:rPr>
            <w:rFonts w:ascii="Arial" w:hAnsi="Arial" w:cs="Arial"/>
            <w:sz w:val="28"/>
            <w:szCs w:val="28"/>
          </w:rPr>
          <w:t>гл. 26.2</w:t>
        </w:r>
      </w:hyperlink>
      <w:r w:rsidRPr="00645688">
        <w:rPr>
          <w:rFonts w:ascii="Arial" w:hAnsi="Arial" w:cs="Arial"/>
          <w:sz w:val="28"/>
          <w:szCs w:val="28"/>
        </w:rPr>
        <w:t xml:space="preserve"> и </w:t>
      </w:r>
      <w:hyperlink r:id="rId6" w:history="1">
        <w:r w:rsidRPr="00645688">
          <w:rPr>
            <w:rFonts w:ascii="Arial" w:hAnsi="Arial" w:cs="Arial"/>
            <w:sz w:val="28"/>
            <w:szCs w:val="28"/>
          </w:rPr>
          <w:t>26.5</w:t>
        </w:r>
      </w:hyperlink>
      <w:r w:rsidRPr="00645688">
        <w:rPr>
          <w:rFonts w:ascii="Arial" w:hAnsi="Arial" w:cs="Arial"/>
          <w:sz w:val="28"/>
          <w:szCs w:val="28"/>
        </w:rPr>
        <w:t xml:space="preserve"> Налогового кодекса РФ не установлено запрета на возможность применения индивидуальным предпринимателем одновременно УСН и ПСН в отношении отдельных видов предпринимательской деятельности при условии соблюдения условий и ограничений, предусмотренных для применения данных режимов налогообложения указанными главами </w:t>
      </w:r>
      <w:hyperlink r:id="rId7" w:history="1">
        <w:r w:rsidRPr="00645688">
          <w:rPr>
            <w:rFonts w:ascii="Arial" w:hAnsi="Arial" w:cs="Arial"/>
            <w:sz w:val="28"/>
            <w:szCs w:val="28"/>
          </w:rPr>
          <w:t>Кодекса</w:t>
        </w:r>
      </w:hyperlink>
      <w:r w:rsidRPr="00645688">
        <w:rPr>
          <w:rFonts w:ascii="Arial" w:hAnsi="Arial" w:cs="Arial"/>
          <w:sz w:val="28"/>
          <w:szCs w:val="28"/>
        </w:rPr>
        <w:t>.</w:t>
      </w:r>
    </w:p>
    <w:p w:rsidR="00153DB4" w:rsidRPr="00645688" w:rsidRDefault="00153DB4">
      <w:pPr>
        <w:pStyle w:val="ConsPlusNormal"/>
        <w:spacing w:before="220"/>
        <w:ind w:firstLine="540"/>
        <w:jc w:val="both"/>
        <w:rPr>
          <w:rFonts w:ascii="Arial" w:hAnsi="Arial" w:cs="Arial"/>
          <w:sz w:val="28"/>
          <w:szCs w:val="28"/>
        </w:rPr>
      </w:pPr>
      <w:r w:rsidRPr="00645688">
        <w:rPr>
          <w:rFonts w:ascii="Arial" w:hAnsi="Arial" w:cs="Arial"/>
          <w:sz w:val="28"/>
          <w:szCs w:val="28"/>
        </w:rPr>
        <w:t>В отношении одного и того же вида предпринимательской деятельности (например, розничной торговли), осуществляемого на территории одного муниципального района или на территории нескольких районов одного городского округа, городов федерального значения Москвы и Санкт-Петербурга, ПСН и УСН одновременно применяться не могут.</w:t>
      </w:r>
    </w:p>
    <w:p w:rsidR="00153DB4" w:rsidRPr="00645688" w:rsidRDefault="00153DB4">
      <w:pPr>
        <w:pStyle w:val="ConsPlusNormal"/>
        <w:rPr>
          <w:rFonts w:ascii="Arial" w:hAnsi="Arial" w:cs="Arial"/>
          <w:sz w:val="28"/>
          <w:szCs w:val="28"/>
        </w:rPr>
      </w:pPr>
    </w:p>
    <w:p w:rsidR="00153DB4" w:rsidRPr="00645688" w:rsidRDefault="00153DB4">
      <w:pPr>
        <w:pStyle w:val="ConsPlusNormal"/>
        <w:ind w:firstLine="540"/>
        <w:jc w:val="both"/>
        <w:rPr>
          <w:rFonts w:ascii="Arial" w:hAnsi="Arial" w:cs="Arial"/>
          <w:sz w:val="28"/>
          <w:szCs w:val="28"/>
        </w:rPr>
      </w:pPr>
      <w:r w:rsidRPr="00645688">
        <w:rPr>
          <w:rFonts w:ascii="Arial" w:hAnsi="Arial" w:cs="Arial"/>
          <w:b/>
          <w:sz w:val="28"/>
          <w:szCs w:val="28"/>
        </w:rPr>
        <w:t>Обоснование:</w:t>
      </w:r>
      <w:r w:rsidRPr="00645688">
        <w:rPr>
          <w:rFonts w:ascii="Arial" w:hAnsi="Arial" w:cs="Arial"/>
          <w:sz w:val="28"/>
          <w:szCs w:val="28"/>
        </w:rPr>
        <w:t xml:space="preserve"> </w:t>
      </w:r>
      <w:hyperlink r:id="rId8" w:history="1">
        <w:r w:rsidRPr="00645688">
          <w:rPr>
            <w:rFonts w:ascii="Arial" w:hAnsi="Arial" w:cs="Arial"/>
            <w:sz w:val="28"/>
            <w:szCs w:val="28"/>
          </w:rPr>
          <w:t>Пунктом 1 ст. 346.11</w:t>
        </w:r>
      </w:hyperlink>
      <w:r w:rsidRPr="00645688">
        <w:rPr>
          <w:rFonts w:ascii="Arial" w:hAnsi="Arial" w:cs="Arial"/>
          <w:sz w:val="28"/>
          <w:szCs w:val="28"/>
        </w:rPr>
        <w:t xml:space="preserve"> Налогового кодекса РФ оговорена возможность совмещения "упрощенки" с иными режимами налогообложения, предусмотренными налоговым законодательством. Зеркальное правило содержится в </w:t>
      </w:r>
      <w:hyperlink r:id="rId9" w:history="1">
        <w:r w:rsidRPr="00645688">
          <w:rPr>
            <w:rFonts w:ascii="Arial" w:hAnsi="Arial" w:cs="Arial"/>
            <w:sz w:val="28"/>
            <w:szCs w:val="28"/>
          </w:rPr>
          <w:t>п. 1 ст. 346.43</w:t>
        </w:r>
      </w:hyperlink>
      <w:r w:rsidRPr="00645688">
        <w:rPr>
          <w:rFonts w:ascii="Arial" w:hAnsi="Arial" w:cs="Arial"/>
          <w:sz w:val="28"/>
          <w:szCs w:val="28"/>
        </w:rPr>
        <w:t xml:space="preserve"> НК РФ, который также допускает совмещение ПСН с иными режимами налогообложения, предусмотренными налоговым законодательством. Следовательно, совмещение УСН (</w:t>
      </w:r>
      <w:hyperlink r:id="rId10" w:history="1">
        <w:r w:rsidRPr="00645688">
          <w:rPr>
            <w:rFonts w:ascii="Arial" w:hAnsi="Arial" w:cs="Arial"/>
            <w:sz w:val="28"/>
            <w:szCs w:val="28"/>
          </w:rPr>
          <w:t>гл. 26.2</w:t>
        </w:r>
      </w:hyperlink>
      <w:r w:rsidRPr="00645688">
        <w:rPr>
          <w:rFonts w:ascii="Arial" w:hAnsi="Arial" w:cs="Arial"/>
          <w:sz w:val="28"/>
          <w:szCs w:val="28"/>
        </w:rPr>
        <w:t xml:space="preserve"> НК РФ) и ПСН (</w:t>
      </w:r>
      <w:hyperlink r:id="rId11" w:history="1">
        <w:r w:rsidRPr="00645688">
          <w:rPr>
            <w:rFonts w:ascii="Arial" w:hAnsi="Arial" w:cs="Arial"/>
            <w:sz w:val="28"/>
            <w:szCs w:val="28"/>
          </w:rPr>
          <w:t>гл. 26.5</w:t>
        </w:r>
      </w:hyperlink>
      <w:r w:rsidRPr="00645688">
        <w:rPr>
          <w:rFonts w:ascii="Arial" w:hAnsi="Arial" w:cs="Arial"/>
          <w:sz w:val="28"/>
          <w:szCs w:val="28"/>
        </w:rPr>
        <w:t xml:space="preserve"> НК РФ) допустимо с точки зрения </w:t>
      </w:r>
      <w:hyperlink r:id="rId12" w:history="1">
        <w:r w:rsidRPr="00645688">
          <w:rPr>
            <w:rFonts w:ascii="Arial" w:hAnsi="Arial" w:cs="Arial"/>
            <w:sz w:val="28"/>
            <w:szCs w:val="28"/>
          </w:rPr>
          <w:t>НК</w:t>
        </w:r>
      </w:hyperlink>
      <w:r w:rsidRPr="00645688">
        <w:rPr>
          <w:rFonts w:ascii="Arial" w:hAnsi="Arial" w:cs="Arial"/>
          <w:sz w:val="28"/>
          <w:szCs w:val="28"/>
        </w:rPr>
        <w:t xml:space="preserve"> РФ.</w:t>
      </w:r>
    </w:p>
    <w:p w:rsidR="00153DB4" w:rsidRPr="00645688" w:rsidRDefault="00153DB4">
      <w:pPr>
        <w:pStyle w:val="ConsPlusNormal"/>
        <w:spacing w:before="220"/>
        <w:ind w:firstLine="540"/>
        <w:jc w:val="both"/>
        <w:rPr>
          <w:rFonts w:ascii="Arial" w:hAnsi="Arial" w:cs="Arial"/>
          <w:sz w:val="28"/>
          <w:szCs w:val="28"/>
        </w:rPr>
      </w:pPr>
      <w:r w:rsidRPr="00645688">
        <w:rPr>
          <w:rFonts w:ascii="Arial" w:hAnsi="Arial" w:cs="Arial"/>
          <w:sz w:val="28"/>
          <w:szCs w:val="28"/>
        </w:rPr>
        <w:t>Однако следует учитывать, что УСН и ПСН не могут применяться одновременно в отношении одного и того же вида деятельности, который ведется на территории одного муниципального района, нескольких районов одного городского округа, городов федерального значения. То есть по общему правилу объекты, через которые ведется розничная торговля на УСН и на ПСН, должны находиться на территории разных муниципальных образований (</w:t>
      </w:r>
      <w:hyperlink r:id="rId13" w:history="1">
        <w:r w:rsidRPr="00645688">
          <w:rPr>
            <w:rFonts w:ascii="Arial" w:hAnsi="Arial" w:cs="Arial"/>
            <w:sz w:val="28"/>
            <w:szCs w:val="28"/>
          </w:rPr>
          <w:t>Письмо</w:t>
        </w:r>
      </w:hyperlink>
      <w:r w:rsidRPr="00645688">
        <w:rPr>
          <w:rFonts w:ascii="Arial" w:hAnsi="Arial" w:cs="Arial"/>
          <w:sz w:val="28"/>
          <w:szCs w:val="28"/>
        </w:rPr>
        <w:t xml:space="preserve"> Минфина России от 22.07.2019 N 03-11-11/54487).</w:t>
      </w:r>
    </w:p>
    <w:p w:rsidR="00153DB4" w:rsidRPr="00645688" w:rsidRDefault="00153DB4">
      <w:pPr>
        <w:pStyle w:val="ConsPlusNormal"/>
        <w:spacing w:before="220"/>
        <w:ind w:firstLine="540"/>
        <w:jc w:val="both"/>
        <w:rPr>
          <w:rFonts w:ascii="Arial" w:hAnsi="Arial" w:cs="Arial"/>
          <w:sz w:val="28"/>
          <w:szCs w:val="28"/>
        </w:rPr>
      </w:pPr>
      <w:r w:rsidRPr="00645688">
        <w:rPr>
          <w:rFonts w:ascii="Arial" w:hAnsi="Arial" w:cs="Arial"/>
          <w:sz w:val="28"/>
          <w:szCs w:val="28"/>
        </w:rPr>
        <w:lastRenderedPageBreak/>
        <w:t>Под розничной торговлей в целях применения патентной системы налогообложения (ПСН) понимается предпринимательская деятельность, связанная с торговлей товарами (в том числе за наличный расчет, а также с использованием платежных карт) на основе договоров розничной купли-продажи (</w:t>
      </w:r>
      <w:proofErr w:type="spellStart"/>
      <w:r w:rsidR="00645688" w:rsidRPr="00645688">
        <w:rPr>
          <w:rFonts w:ascii="Arial" w:hAnsi="Arial" w:cs="Arial"/>
          <w:sz w:val="28"/>
          <w:szCs w:val="28"/>
        </w:rPr>
        <w:fldChar w:fldCharType="begin"/>
      </w:r>
      <w:r w:rsidR="00645688" w:rsidRPr="00645688">
        <w:rPr>
          <w:rFonts w:ascii="Arial" w:hAnsi="Arial" w:cs="Arial"/>
          <w:sz w:val="28"/>
          <w:szCs w:val="28"/>
        </w:rPr>
        <w:instrText xml:space="preserve"> HYPER</w:instrText>
      </w:r>
      <w:r w:rsidR="00645688" w:rsidRPr="00645688">
        <w:rPr>
          <w:rFonts w:ascii="Arial" w:hAnsi="Arial" w:cs="Arial"/>
          <w:sz w:val="28"/>
          <w:szCs w:val="28"/>
        </w:rPr>
        <w:instrText xml:space="preserve">LINK "consultantplus://offline/ref=5E4D45514C1F9072D2D7FAE4FB58E4C9769FE65D36178995FE7A208F4FFB39C4C96B18E6C2B8295D3F9429669BB5057B065242B26056D669I9E" </w:instrText>
      </w:r>
      <w:r w:rsidR="00645688" w:rsidRPr="00645688">
        <w:rPr>
          <w:rFonts w:ascii="Arial" w:hAnsi="Arial" w:cs="Arial"/>
          <w:sz w:val="28"/>
          <w:szCs w:val="28"/>
        </w:rPr>
        <w:fldChar w:fldCharType="separate"/>
      </w:r>
      <w:r w:rsidRPr="00645688">
        <w:rPr>
          <w:rFonts w:ascii="Arial" w:hAnsi="Arial" w:cs="Arial"/>
          <w:sz w:val="28"/>
          <w:szCs w:val="28"/>
        </w:rPr>
        <w:t>пп</w:t>
      </w:r>
      <w:proofErr w:type="spellEnd"/>
      <w:r w:rsidRPr="00645688">
        <w:rPr>
          <w:rFonts w:ascii="Arial" w:hAnsi="Arial" w:cs="Arial"/>
          <w:sz w:val="28"/>
          <w:szCs w:val="28"/>
        </w:rPr>
        <w:t>. 1 п. 3 ст. 346.43</w:t>
      </w:r>
      <w:r w:rsidR="00645688" w:rsidRPr="00645688">
        <w:rPr>
          <w:rFonts w:ascii="Arial" w:hAnsi="Arial" w:cs="Arial"/>
          <w:sz w:val="28"/>
          <w:szCs w:val="28"/>
        </w:rPr>
        <w:fldChar w:fldCharType="end"/>
      </w:r>
      <w:r w:rsidRPr="00645688">
        <w:rPr>
          <w:rFonts w:ascii="Arial" w:hAnsi="Arial" w:cs="Arial"/>
          <w:sz w:val="28"/>
          <w:szCs w:val="28"/>
        </w:rPr>
        <w:t xml:space="preserve"> НК РФ).</w:t>
      </w:r>
    </w:p>
    <w:p w:rsidR="00153DB4" w:rsidRPr="00645688" w:rsidRDefault="00153DB4">
      <w:pPr>
        <w:pStyle w:val="ConsPlusNormal"/>
        <w:spacing w:before="220"/>
        <w:ind w:firstLine="540"/>
        <w:jc w:val="both"/>
        <w:rPr>
          <w:rFonts w:ascii="Arial" w:hAnsi="Arial" w:cs="Arial"/>
          <w:sz w:val="28"/>
          <w:szCs w:val="28"/>
        </w:rPr>
      </w:pPr>
      <w:r w:rsidRPr="00645688">
        <w:rPr>
          <w:rFonts w:ascii="Arial" w:hAnsi="Arial" w:cs="Arial"/>
          <w:sz w:val="28"/>
          <w:szCs w:val="28"/>
        </w:rPr>
        <w:t>К данному виду предпринимательской деятельности не относится реализация некоторых подакцизных товаров (</w:t>
      </w:r>
      <w:proofErr w:type="spellStart"/>
      <w:r w:rsidR="00645688" w:rsidRPr="00645688">
        <w:rPr>
          <w:rFonts w:ascii="Arial" w:hAnsi="Arial" w:cs="Arial"/>
          <w:sz w:val="28"/>
          <w:szCs w:val="28"/>
        </w:rPr>
        <w:fldChar w:fldCharType="begin"/>
      </w:r>
      <w:r w:rsidR="00645688" w:rsidRPr="00645688">
        <w:rPr>
          <w:rFonts w:ascii="Arial" w:hAnsi="Arial" w:cs="Arial"/>
          <w:sz w:val="28"/>
          <w:szCs w:val="28"/>
        </w:rPr>
        <w:instrText xml:space="preserve"> HYPERLINK "consultantplus://offline/ref=5E4D45514C1F9072D2D7FAE4FB58E4C9769FE65D36178995FE7A208F4FFB39C4C96B18E1CBB3265160913C77C3B90465185B55AE62546DI4E" </w:instrText>
      </w:r>
      <w:r w:rsidR="00645688" w:rsidRPr="00645688">
        <w:rPr>
          <w:rFonts w:ascii="Arial" w:hAnsi="Arial" w:cs="Arial"/>
          <w:sz w:val="28"/>
          <w:szCs w:val="28"/>
        </w:rPr>
        <w:fldChar w:fldCharType="separate"/>
      </w:r>
      <w:r w:rsidRPr="00645688">
        <w:rPr>
          <w:rFonts w:ascii="Arial" w:hAnsi="Arial" w:cs="Arial"/>
          <w:sz w:val="28"/>
          <w:szCs w:val="28"/>
        </w:rPr>
        <w:t>пп</w:t>
      </w:r>
      <w:proofErr w:type="spellEnd"/>
      <w:r w:rsidRPr="00645688">
        <w:rPr>
          <w:rFonts w:ascii="Arial" w:hAnsi="Arial" w:cs="Arial"/>
          <w:sz w:val="28"/>
          <w:szCs w:val="28"/>
        </w:rPr>
        <w:t>. 6</w:t>
      </w:r>
      <w:r w:rsidR="00645688" w:rsidRPr="00645688">
        <w:rPr>
          <w:rFonts w:ascii="Arial" w:hAnsi="Arial" w:cs="Arial"/>
          <w:sz w:val="28"/>
          <w:szCs w:val="28"/>
        </w:rPr>
        <w:fldChar w:fldCharType="end"/>
      </w:r>
      <w:r w:rsidRPr="00645688">
        <w:rPr>
          <w:rFonts w:ascii="Arial" w:hAnsi="Arial" w:cs="Arial"/>
          <w:sz w:val="28"/>
          <w:szCs w:val="28"/>
        </w:rPr>
        <w:t xml:space="preserve"> - </w:t>
      </w:r>
      <w:hyperlink r:id="rId14" w:history="1">
        <w:r w:rsidRPr="00645688">
          <w:rPr>
            <w:rFonts w:ascii="Arial" w:hAnsi="Arial" w:cs="Arial"/>
            <w:sz w:val="28"/>
            <w:szCs w:val="28"/>
          </w:rPr>
          <w:t>10 п. 1 ст. 181</w:t>
        </w:r>
      </w:hyperlink>
      <w:r w:rsidRPr="00645688">
        <w:rPr>
          <w:rFonts w:ascii="Arial" w:hAnsi="Arial" w:cs="Arial"/>
          <w:sz w:val="28"/>
          <w:szCs w:val="28"/>
        </w:rPr>
        <w:t xml:space="preserve"> НК РФ), в частности:</w:t>
      </w:r>
    </w:p>
    <w:p w:rsidR="00153DB4" w:rsidRPr="00645688" w:rsidRDefault="00153DB4">
      <w:pPr>
        <w:pStyle w:val="ConsPlusNormal"/>
        <w:spacing w:before="220"/>
        <w:ind w:firstLine="540"/>
        <w:jc w:val="both"/>
        <w:rPr>
          <w:rFonts w:ascii="Arial" w:hAnsi="Arial" w:cs="Arial"/>
          <w:sz w:val="28"/>
          <w:szCs w:val="28"/>
        </w:rPr>
      </w:pPr>
      <w:r w:rsidRPr="00645688">
        <w:rPr>
          <w:rFonts w:ascii="Arial" w:hAnsi="Arial" w:cs="Arial"/>
          <w:sz w:val="28"/>
          <w:szCs w:val="28"/>
        </w:rPr>
        <w:t>1) автомобилей легковых;</w:t>
      </w:r>
    </w:p>
    <w:p w:rsidR="00153DB4" w:rsidRPr="00645688" w:rsidRDefault="00153DB4">
      <w:pPr>
        <w:pStyle w:val="ConsPlusNormal"/>
        <w:spacing w:before="220"/>
        <w:ind w:firstLine="540"/>
        <w:jc w:val="both"/>
        <w:rPr>
          <w:rFonts w:ascii="Arial" w:hAnsi="Arial" w:cs="Arial"/>
          <w:sz w:val="28"/>
          <w:szCs w:val="28"/>
        </w:rPr>
      </w:pPr>
      <w:r w:rsidRPr="00645688">
        <w:rPr>
          <w:rFonts w:ascii="Arial" w:hAnsi="Arial" w:cs="Arial"/>
          <w:sz w:val="28"/>
          <w:szCs w:val="28"/>
        </w:rPr>
        <w:t xml:space="preserve">2) мотоциклов с мощностью двигателя свыше 112,5 кВт (150 л. </w:t>
      </w:r>
      <w:proofErr w:type="gramStart"/>
      <w:r w:rsidRPr="00645688">
        <w:rPr>
          <w:rFonts w:ascii="Arial" w:hAnsi="Arial" w:cs="Arial"/>
          <w:sz w:val="28"/>
          <w:szCs w:val="28"/>
        </w:rPr>
        <w:t>с</w:t>
      </w:r>
      <w:proofErr w:type="gramEnd"/>
      <w:r w:rsidRPr="00645688">
        <w:rPr>
          <w:rFonts w:ascii="Arial" w:hAnsi="Arial" w:cs="Arial"/>
          <w:sz w:val="28"/>
          <w:szCs w:val="28"/>
        </w:rPr>
        <w:t>.);</w:t>
      </w:r>
    </w:p>
    <w:p w:rsidR="00153DB4" w:rsidRPr="00645688" w:rsidRDefault="00153DB4">
      <w:pPr>
        <w:pStyle w:val="ConsPlusNormal"/>
        <w:spacing w:before="220"/>
        <w:ind w:firstLine="540"/>
        <w:jc w:val="both"/>
        <w:rPr>
          <w:rFonts w:ascii="Arial" w:hAnsi="Arial" w:cs="Arial"/>
          <w:sz w:val="28"/>
          <w:szCs w:val="28"/>
        </w:rPr>
      </w:pPr>
      <w:bookmarkStart w:id="0" w:name="_GoBack"/>
      <w:r w:rsidRPr="00645688">
        <w:rPr>
          <w:rFonts w:ascii="Arial" w:hAnsi="Arial" w:cs="Arial"/>
          <w:sz w:val="28"/>
          <w:szCs w:val="28"/>
        </w:rPr>
        <w:t>3) автомобильного бензина;</w:t>
      </w:r>
    </w:p>
    <w:bookmarkEnd w:id="0"/>
    <w:p w:rsidR="00153DB4" w:rsidRPr="00645688" w:rsidRDefault="00153DB4">
      <w:pPr>
        <w:pStyle w:val="ConsPlusNormal"/>
        <w:spacing w:before="220"/>
        <w:ind w:firstLine="540"/>
        <w:jc w:val="both"/>
        <w:rPr>
          <w:rFonts w:ascii="Arial" w:hAnsi="Arial" w:cs="Arial"/>
          <w:sz w:val="28"/>
          <w:szCs w:val="28"/>
        </w:rPr>
      </w:pPr>
      <w:r w:rsidRPr="00645688">
        <w:rPr>
          <w:rFonts w:ascii="Arial" w:hAnsi="Arial" w:cs="Arial"/>
          <w:sz w:val="28"/>
          <w:szCs w:val="28"/>
        </w:rPr>
        <w:t>4) дизельного топлива;</w:t>
      </w:r>
    </w:p>
    <w:p w:rsidR="00153DB4" w:rsidRPr="00645688" w:rsidRDefault="00153DB4">
      <w:pPr>
        <w:pStyle w:val="ConsPlusNormal"/>
        <w:spacing w:before="220"/>
        <w:ind w:firstLine="540"/>
        <w:jc w:val="both"/>
        <w:rPr>
          <w:rFonts w:ascii="Arial" w:hAnsi="Arial" w:cs="Arial"/>
          <w:sz w:val="28"/>
          <w:szCs w:val="28"/>
        </w:rPr>
      </w:pPr>
      <w:r w:rsidRPr="00645688">
        <w:rPr>
          <w:rFonts w:ascii="Arial" w:hAnsi="Arial" w:cs="Arial"/>
          <w:sz w:val="28"/>
          <w:szCs w:val="28"/>
        </w:rPr>
        <w:t>5) моторных масел для дизельных и (или) карбюраторных (</w:t>
      </w:r>
      <w:proofErr w:type="spellStart"/>
      <w:r w:rsidRPr="00645688">
        <w:rPr>
          <w:rFonts w:ascii="Arial" w:hAnsi="Arial" w:cs="Arial"/>
          <w:sz w:val="28"/>
          <w:szCs w:val="28"/>
        </w:rPr>
        <w:t>инжекторных</w:t>
      </w:r>
      <w:proofErr w:type="spellEnd"/>
      <w:r w:rsidRPr="00645688">
        <w:rPr>
          <w:rFonts w:ascii="Arial" w:hAnsi="Arial" w:cs="Arial"/>
          <w:sz w:val="28"/>
          <w:szCs w:val="28"/>
        </w:rPr>
        <w:t>) двигателей;</w:t>
      </w:r>
    </w:p>
    <w:p w:rsidR="00153DB4" w:rsidRPr="00645688" w:rsidRDefault="00153DB4">
      <w:pPr>
        <w:pStyle w:val="ConsPlusNormal"/>
        <w:spacing w:before="220"/>
        <w:ind w:firstLine="540"/>
        <w:jc w:val="both"/>
        <w:rPr>
          <w:rFonts w:ascii="Arial" w:hAnsi="Arial" w:cs="Arial"/>
          <w:sz w:val="28"/>
          <w:szCs w:val="28"/>
        </w:rPr>
      </w:pPr>
      <w:r w:rsidRPr="00645688">
        <w:rPr>
          <w:rFonts w:ascii="Arial" w:hAnsi="Arial" w:cs="Arial"/>
          <w:sz w:val="28"/>
          <w:szCs w:val="28"/>
        </w:rPr>
        <w:t>6) прямогонного бензина.</w:t>
      </w:r>
    </w:p>
    <w:p w:rsidR="00153DB4" w:rsidRPr="00645688" w:rsidRDefault="00153DB4">
      <w:pPr>
        <w:pStyle w:val="ConsPlusNormal"/>
        <w:spacing w:before="220"/>
        <w:ind w:firstLine="540"/>
        <w:jc w:val="both"/>
        <w:rPr>
          <w:rFonts w:ascii="Arial" w:hAnsi="Arial" w:cs="Arial"/>
          <w:sz w:val="28"/>
          <w:szCs w:val="28"/>
        </w:rPr>
      </w:pPr>
      <w:r w:rsidRPr="00645688">
        <w:rPr>
          <w:rFonts w:ascii="Arial" w:hAnsi="Arial" w:cs="Arial"/>
          <w:sz w:val="28"/>
          <w:szCs w:val="28"/>
        </w:rPr>
        <w:t>Таким образом, если индивидуальный предприниматель реализует только моторные масла для дизельных и (или) карбюраторных (</w:t>
      </w:r>
      <w:proofErr w:type="spellStart"/>
      <w:r w:rsidRPr="00645688">
        <w:rPr>
          <w:rFonts w:ascii="Arial" w:hAnsi="Arial" w:cs="Arial"/>
          <w:sz w:val="28"/>
          <w:szCs w:val="28"/>
        </w:rPr>
        <w:t>инжекторных</w:t>
      </w:r>
      <w:proofErr w:type="spellEnd"/>
      <w:r w:rsidRPr="00645688">
        <w:rPr>
          <w:rFonts w:ascii="Arial" w:hAnsi="Arial" w:cs="Arial"/>
          <w:sz w:val="28"/>
          <w:szCs w:val="28"/>
        </w:rPr>
        <w:t>) двигателей, то совмещение ПСН с "упрощенкой" в одном муниципальном образовании в такой ситуации допустимо, поскольку реализация моторных масел не относится к розничной торговле в целях ПСН.</w:t>
      </w:r>
    </w:p>
    <w:p w:rsidR="00153DB4" w:rsidRPr="00645688" w:rsidRDefault="00153DB4">
      <w:pPr>
        <w:pStyle w:val="ConsPlusNormal"/>
        <w:spacing w:before="220"/>
        <w:ind w:firstLine="540"/>
        <w:jc w:val="both"/>
        <w:rPr>
          <w:rFonts w:ascii="Arial" w:hAnsi="Arial" w:cs="Arial"/>
          <w:sz w:val="28"/>
          <w:szCs w:val="28"/>
        </w:rPr>
      </w:pPr>
      <w:r w:rsidRPr="00645688">
        <w:rPr>
          <w:rFonts w:ascii="Arial" w:hAnsi="Arial" w:cs="Arial"/>
          <w:sz w:val="28"/>
          <w:szCs w:val="28"/>
        </w:rPr>
        <w:t xml:space="preserve">Данная позиция подтверждается </w:t>
      </w:r>
      <w:hyperlink r:id="rId15" w:history="1">
        <w:r w:rsidRPr="00645688">
          <w:rPr>
            <w:rFonts w:ascii="Arial" w:hAnsi="Arial" w:cs="Arial"/>
            <w:sz w:val="28"/>
            <w:szCs w:val="28"/>
          </w:rPr>
          <w:t>Письмом</w:t>
        </w:r>
      </w:hyperlink>
      <w:r w:rsidRPr="00645688">
        <w:rPr>
          <w:rFonts w:ascii="Arial" w:hAnsi="Arial" w:cs="Arial"/>
          <w:sz w:val="28"/>
          <w:szCs w:val="28"/>
        </w:rPr>
        <w:t xml:space="preserve"> Минфина России от 28.01.2020 N 03-11-11/4903.</w:t>
      </w:r>
    </w:p>
    <w:p w:rsidR="00153DB4" w:rsidRPr="00645688" w:rsidRDefault="00153DB4">
      <w:pPr>
        <w:pStyle w:val="ConsPlusNormal"/>
        <w:rPr>
          <w:rFonts w:ascii="Arial" w:hAnsi="Arial" w:cs="Arial"/>
          <w:sz w:val="28"/>
          <w:szCs w:val="28"/>
        </w:rPr>
      </w:pPr>
    </w:p>
    <w:p w:rsidR="00153DB4" w:rsidRPr="00645688" w:rsidRDefault="00153DB4">
      <w:pPr>
        <w:pStyle w:val="ConsPlusNormal"/>
        <w:rPr>
          <w:rFonts w:ascii="Arial" w:hAnsi="Arial" w:cs="Arial"/>
          <w:sz w:val="28"/>
          <w:szCs w:val="28"/>
        </w:rPr>
      </w:pPr>
    </w:p>
    <w:p w:rsidR="00E66486" w:rsidRPr="00645688" w:rsidRDefault="00E66486">
      <w:pPr>
        <w:rPr>
          <w:rFonts w:ascii="Arial" w:hAnsi="Arial" w:cs="Arial"/>
          <w:sz w:val="28"/>
          <w:szCs w:val="28"/>
        </w:rPr>
      </w:pPr>
    </w:p>
    <w:sectPr w:rsidR="00E66486" w:rsidRPr="00645688" w:rsidSect="004B05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DB4"/>
    <w:rsid w:val="00153DB4"/>
    <w:rsid w:val="00645688"/>
    <w:rsid w:val="00E66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3D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3DB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3D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3DB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4D45514C1F9072D2D7FAE4FB58E4C9769FE65D36178995FE7A208F4FFB39C4C96B18E6CCBA2D5160913C77C3B90465185B55AE62546DI4E" TargetMode="External"/><Relationship Id="rId13" Type="http://schemas.openxmlformats.org/officeDocument/2006/relationships/hyperlink" Target="consultantplus://offline/ref=5E4D45514C1F9072D2D7E7F0E930DECF2B91E352321082C2A97871DA41FE3194817B44A39FB62E5A2AC0713CCCB80667IBE" TargetMode="External"/><Relationship Id="rId3" Type="http://schemas.openxmlformats.org/officeDocument/2006/relationships/settings" Target="settings.xml"/><Relationship Id="rId7" Type="http://schemas.openxmlformats.org/officeDocument/2006/relationships/hyperlink" Target="consultantplus://offline/ref=5E4D45514C1F9072D2D7FAE4FB58E4C9769FE65D36178995FE7A208F4FFB39C4C96B18E6CAB82A5B30CB2C738AED097A184C4BA57C54D49B6AI2E" TargetMode="External"/><Relationship Id="rId12" Type="http://schemas.openxmlformats.org/officeDocument/2006/relationships/hyperlink" Target="consultantplus://offline/ref=5E4D45514C1F9072D2D7FAE4FB58E4C9769FE65D36178995FE7A208F4FFB39C4C96B18E6CAB82A5B30CB2C738AED097A184C4BA57C54D49B6AI2E"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E4D45514C1F9072D2D7FAE4FB58E4C9769FE65D36178995FE7A208F4FFB39C4C96B18E0CCB22A5160913C77C3B90465185B55AE62546DI4E" TargetMode="External"/><Relationship Id="rId11" Type="http://schemas.openxmlformats.org/officeDocument/2006/relationships/hyperlink" Target="consultantplus://offline/ref=5E4D45514C1F9072D2D7FAE4FB58E4C9769FE65D36178995FE7A208F4FFB39C4C96B18E0CCB22A5160913C77C3B90465185B55AE62546DI4E" TargetMode="External"/><Relationship Id="rId5" Type="http://schemas.openxmlformats.org/officeDocument/2006/relationships/hyperlink" Target="consultantplus://offline/ref=5E4D45514C1F9072D2D7FAE4FB58E4C9769FE65D36178995FE7A208F4FFB39C4C96B18E6CAB82A5D36CB2C738AED097A184C4BA57C54D49B6AI2E" TargetMode="External"/><Relationship Id="rId15" Type="http://schemas.openxmlformats.org/officeDocument/2006/relationships/hyperlink" Target="consultantplus://offline/ref=5E4D45514C1F9072D2D7E7F0E930DECF2B91E35337138BC6A97871DA41FE3194817B44A39FB62E5A2AC0713CCCB80667IBE" TargetMode="External"/><Relationship Id="rId10" Type="http://schemas.openxmlformats.org/officeDocument/2006/relationships/hyperlink" Target="consultantplus://offline/ref=5E4D45514C1F9072D2D7FAE4FB58E4C9769FE65D36178995FE7A208F4FFB39C4C96B18E6CAB82A5D36CB2C738AED097A184C4BA57C54D49B6AI2E" TargetMode="External"/><Relationship Id="rId4" Type="http://schemas.openxmlformats.org/officeDocument/2006/relationships/webSettings" Target="webSettings.xml"/><Relationship Id="rId9" Type="http://schemas.openxmlformats.org/officeDocument/2006/relationships/hyperlink" Target="consultantplus://offline/ref=5E4D45514C1F9072D2D7FAE4FB58E4C9769FE65D36178995FE7A208F4FFB39C4C96B18E0CCB2275160913C77C3B90465185B55AE62546DI4E" TargetMode="External"/><Relationship Id="rId14" Type="http://schemas.openxmlformats.org/officeDocument/2006/relationships/hyperlink" Target="consultantplus://offline/ref=5E4D45514C1F9072D2D7FAE4FB58E4C9769FE65D36178995FE7A208F4FFB39C4C96B18E6CBB2285B3F9429669BB5057B065242B26056D669I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791</Words>
  <Characters>4510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Кирилюк Оксана Витальевна</dc:creator>
  <cp:lastModifiedBy>Кирилюк Оксана Витальевна</cp:lastModifiedBy>
  <cp:revision>2</cp:revision>
  <dcterms:created xsi:type="dcterms:W3CDTF">2020-09-10T04:08:00Z</dcterms:created>
  <dcterms:modified xsi:type="dcterms:W3CDTF">2020-09-22T04:02:00Z</dcterms:modified>
</cp:coreProperties>
</file>