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BC390C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BC390C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BC390C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390C" w:rsidRDefault="00BC390C" w:rsidP="00BC390C">
      <w:pPr>
        <w:rPr>
          <w:lang w:eastAsia="ru-RU"/>
        </w:rPr>
      </w:pP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lang w:eastAsia="ru-RU"/>
        </w:rPr>
        <w:tab/>
      </w:r>
      <w:r>
        <w:rPr>
          <w:rFonts w:ascii="Arial" w:hAnsi="Arial" w:cs="Arial"/>
          <w:b/>
          <w:bCs/>
          <w:sz w:val="28"/>
          <w:szCs w:val="28"/>
        </w:rPr>
        <w:t>ФЕДЕРАЛЬНАЯ НАЛОГОВАЯ СЛУЖБА</w:t>
      </w: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ИНФОРМАЦИЯ</w:t>
      </w: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ОПУБЛИКОВАН ПЕРЕЧЕНЬ</w:t>
      </w: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ЛЕГКОВЫХ АВТОМОБИЛЕЙ СРЕДНЕЙ СТОИМОСТЬЮ ОТ 3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МЛН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РУБ.</w:t>
      </w:r>
    </w:p>
    <w:bookmarkEnd w:id="0"/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ДЛЯ РАСЧЕТА ТРАНСПОРТНОГО НАЛОГА ЗА 2021 ГОД</w:t>
      </w:r>
    </w:p>
    <w:p w:rsidR="00BC390C" w:rsidRDefault="00BC390C" w:rsidP="00BC3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C390C" w:rsidRPr="00BC390C" w:rsidRDefault="00BC390C" w:rsidP="00BC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На сайте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Минпромторга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России опубликован </w:t>
      </w:r>
      <w:hyperlink r:id="rId10" w:history="1">
        <w:r w:rsidRPr="00BC390C">
          <w:rPr>
            <w:rFonts w:ascii="Arial" w:hAnsi="Arial" w:cs="Arial"/>
            <w:bCs/>
            <w:sz w:val="28"/>
            <w:szCs w:val="28"/>
          </w:rPr>
          <w:t>Перечень</w:t>
        </w:r>
      </w:hyperlink>
      <w:r w:rsidRPr="00BC390C">
        <w:rPr>
          <w:rFonts w:ascii="Arial" w:hAnsi="Arial" w:cs="Arial"/>
          <w:bCs/>
          <w:sz w:val="28"/>
          <w:szCs w:val="28"/>
        </w:rPr>
        <w:t xml:space="preserve"> легковых автомобилей средней стоимостью от 3 </w:t>
      </w:r>
      <w:proofErr w:type="gramStart"/>
      <w:r w:rsidRPr="00BC390C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BC390C">
        <w:rPr>
          <w:rFonts w:ascii="Arial" w:hAnsi="Arial" w:cs="Arial"/>
          <w:bCs/>
          <w:sz w:val="28"/>
          <w:szCs w:val="28"/>
        </w:rPr>
        <w:t xml:space="preserve"> руб. для расчета транспортного налога за 2021 год. По сравнению с аналогичным </w:t>
      </w:r>
      <w:hyperlink r:id="rId11" w:history="1">
        <w:r w:rsidRPr="00BC390C">
          <w:rPr>
            <w:rFonts w:ascii="Arial" w:hAnsi="Arial" w:cs="Arial"/>
            <w:bCs/>
            <w:sz w:val="28"/>
            <w:szCs w:val="28"/>
          </w:rPr>
          <w:t>Перечнем</w:t>
        </w:r>
      </w:hyperlink>
      <w:r w:rsidRPr="00BC390C">
        <w:rPr>
          <w:rFonts w:ascii="Arial" w:hAnsi="Arial" w:cs="Arial"/>
          <w:bCs/>
          <w:sz w:val="28"/>
          <w:szCs w:val="28"/>
        </w:rPr>
        <w:t xml:space="preserve"> 2020 года в него дополнительно включены такие марки и модели автомобилей, как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Skoda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KODIAQ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SportLine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Toyota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Fortuner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2.8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Elegance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Citroen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SpaceTourer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BUSINESS LOUNGE XL,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Peugeot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TRAVELLER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Business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VIP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Long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>.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Налог на автомобили, вошедшие в </w:t>
      </w:r>
      <w:hyperlink r:id="rId12" w:history="1">
        <w:r w:rsidRPr="00BC390C">
          <w:rPr>
            <w:rFonts w:ascii="Arial" w:hAnsi="Arial" w:cs="Arial"/>
            <w:bCs/>
            <w:sz w:val="28"/>
            <w:szCs w:val="28"/>
          </w:rPr>
          <w:t>Перечень</w:t>
        </w:r>
      </w:hyperlink>
      <w:r w:rsidRPr="00BC390C">
        <w:rPr>
          <w:rFonts w:ascii="Arial" w:hAnsi="Arial" w:cs="Arial"/>
          <w:bCs/>
          <w:sz w:val="28"/>
          <w:szCs w:val="28"/>
        </w:rPr>
        <w:t>, рассчитывается с применением повышающих коэффициентов от 1,1 до 3 в зависимости от года выпуска авто и его средней стоимости: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- 1,1 - для автомобилей средней стоимостью от 3 до 5 </w:t>
      </w:r>
      <w:proofErr w:type="gramStart"/>
      <w:r w:rsidRPr="00BC390C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BC390C">
        <w:rPr>
          <w:rFonts w:ascii="Arial" w:hAnsi="Arial" w:cs="Arial"/>
          <w:bCs/>
          <w:sz w:val="28"/>
          <w:szCs w:val="28"/>
        </w:rPr>
        <w:t xml:space="preserve"> рублей, с года выпуска которых прошло не более трех лет;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- 2 - при средней стоимости автомобилей от 5 до 10 </w:t>
      </w:r>
      <w:proofErr w:type="gramStart"/>
      <w:r w:rsidRPr="00BC390C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BC390C">
        <w:rPr>
          <w:rFonts w:ascii="Arial" w:hAnsi="Arial" w:cs="Arial"/>
          <w:bCs/>
          <w:sz w:val="28"/>
          <w:szCs w:val="28"/>
        </w:rPr>
        <w:t xml:space="preserve"> рублей и не более пяти лет с года выпуска;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- 3 - при средней стоимости автомобилей от 10 до 15 </w:t>
      </w:r>
      <w:proofErr w:type="gramStart"/>
      <w:r w:rsidRPr="00BC390C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BC390C">
        <w:rPr>
          <w:rFonts w:ascii="Arial" w:hAnsi="Arial" w:cs="Arial"/>
          <w:bCs/>
          <w:sz w:val="28"/>
          <w:szCs w:val="28"/>
        </w:rPr>
        <w:t xml:space="preserve"> рублей и менее 10 лет с года выпуска, а также для автомобилей средней стоимостью от 15 млн рублей не старше 20 лет.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Понятие "средняя стоимость легкового автомобиля" в </w:t>
      </w:r>
      <w:hyperlink r:id="rId13" w:history="1">
        <w:r w:rsidRPr="00BC390C">
          <w:rPr>
            <w:rFonts w:ascii="Arial" w:hAnsi="Arial" w:cs="Arial"/>
            <w:bCs/>
            <w:sz w:val="28"/>
            <w:szCs w:val="28"/>
          </w:rPr>
          <w:t>НК</w:t>
        </w:r>
      </w:hyperlink>
      <w:r w:rsidRPr="00BC390C">
        <w:rPr>
          <w:rFonts w:ascii="Arial" w:hAnsi="Arial" w:cs="Arial"/>
          <w:bCs/>
          <w:sz w:val="28"/>
          <w:szCs w:val="28"/>
        </w:rPr>
        <w:t xml:space="preserve"> РФ не определено и налоговыми органами самостоятельно не используется. В соответствии с </w:t>
      </w:r>
      <w:hyperlink r:id="rId14" w:history="1">
        <w:r w:rsidRPr="00BC390C">
          <w:rPr>
            <w:rFonts w:ascii="Arial" w:hAnsi="Arial" w:cs="Arial"/>
            <w:bCs/>
            <w:sz w:val="28"/>
            <w:szCs w:val="28"/>
          </w:rPr>
          <w:t>п. 2 ст. 362</w:t>
        </w:r>
      </w:hyperlink>
      <w:r w:rsidRPr="00BC390C">
        <w:rPr>
          <w:rFonts w:ascii="Arial" w:hAnsi="Arial" w:cs="Arial"/>
          <w:bCs/>
          <w:sz w:val="28"/>
          <w:szCs w:val="28"/>
        </w:rPr>
        <w:t xml:space="preserve"> НК РФ определение порядка расчета средней стоимости легковых автомобилей для исчисления налога относится к компетенции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Минпромторга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России. Такой порядок </w:t>
      </w:r>
      <w:r w:rsidRPr="00BC390C">
        <w:rPr>
          <w:rFonts w:ascii="Arial" w:hAnsi="Arial" w:cs="Arial"/>
          <w:bCs/>
          <w:sz w:val="28"/>
          <w:szCs w:val="28"/>
        </w:rPr>
        <w:lastRenderedPageBreak/>
        <w:t xml:space="preserve">утвержден и применяется с 2014 года. На его основании </w:t>
      </w:r>
      <w:proofErr w:type="spellStart"/>
      <w:r w:rsidRPr="00BC390C">
        <w:rPr>
          <w:rFonts w:ascii="Arial" w:hAnsi="Arial" w:cs="Arial"/>
          <w:bCs/>
          <w:sz w:val="28"/>
          <w:szCs w:val="28"/>
        </w:rPr>
        <w:t>Минпромторг</w:t>
      </w:r>
      <w:proofErr w:type="spellEnd"/>
      <w:r w:rsidRPr="00BC390C">
        <w:rPr>
          <w:rFonts w:ascii="Arial" w:hAnsi="Arial" w:cs="Arial"/>
          <w:bCs/>
          <w:sz w:val="28"/>
          <w:szCs w:val="28"/>
        </w:rPr>
        <w:t xml:space="preserve"> России ежегодно формирует Перечень легковых автомобилей средней стоимостью от 3 </w:t>
      </w:r>
      <w:proofErr w:type="gramStart"/>
      <w:r w:rsidRPr="00BC390C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BC390C">
        <w:rPr>
          <w:rFonts w:ascii="Arial" w:hAnsi="Arial" w:cs="Arial"/>
          <w:bCs/>
          <w:sz w:val="28"/>
          <w:szCs w:val="28"/>
        </w:rPr>
        <w:t xml:space="preserve"> рублей, который публикуется не позднее 1 марта.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>Основанием для исчисления налога с учетом повышающего коэффициента является включение соответствующей марки (модели, версии) автомобиля в указанный перечень на определенный налоговый период.</w:t>
      </w:r>
    </w:p>
    <w:p w:rsidR="00BC390C" w:rsidRPr="00BC390C" w:rsidRDefault="00BC390C" w:rsidP="00BC3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C390C">
        <w:rPr>
          <w:rFonts w:ascii="Arial" w:hAnsi="Arial" w:cs="Arial"/>
          <w:bCs/>
          <w:sz w:val="28"/>
          <w:szCs w:val="28"/>
        </w:rPr>
        <w:t xml:space="preserve">Для физических лиц налоговые органы рассчитают транспортный налог в соответствии с </w:t>
      </w:r>
      <w:hyperlink r:id="rId15" w:history="1">
        <w:r w:rsidRPr="00BC390C">
          <w:rPr>
            <w:rFonts w:ascii="Arial" w:hAnsi="Arial" w:cs="Arial"/>
            <w:bCs/>
            <w:sz w:val="28"/>
            <w:szCs w:val="28"/>
          </w:rPr>
          <w:t>Перечнем</w:t>
        </w:r>
      </w:hyperlink>
      <w:r w:rsidRPr="00BC390C">
        <w:rPr>
          <w:rFonts w:ascii="Arial" w:hAnsi="Arial" w:cs="Arial"/>
          <w:bCs/>
          <w:sz w:val="28"/>
          <w:szCs w:val="28"/>
        </w:rPr>
        <w:t xml:space="preserve"> 2021 года в 2022 году. Организации - владельцы автомобилей рассчитывают налог самостоятельно с применением повышающих коэффициентов и уплачивают в течение 2021 года авансовые платежи по нему, если законом субъекта РФ эта обязанность для них не отменена.</w:t>
      </w:r>
    </w:p>
    <w:p w:rsidR="00BC390C" w:rsidRPr="00BC390C" w:rsidRDefault="00BC390C" w:rsidP="00BC3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A01D7" w:rsidRPr="00BC390C" w:rsidRDefault="00BA01D7" w:rsidP="00BC390C">
      <w:pPr>
        <w:tabs>
          <w:tab w:val="left" w:pos="1005"/>
        </w:tabs>
        <w:rPr>
          <w:lang w:eastAsia="ru-RU"/>
        </w:rPr>
      </w:pPr>
    </w:p>
    <w:sectPr w:rsidR="00BA01D7" w:rsidRPr="00BC390C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D" w:rsidRDefault="00236A7D" w:rsidP="00830148">
      <w:pPr>
        <w:spacing w:after="0" w:line="240" w:lineRule="auto"/>
      </w:pPr>
      <w:r>
        <w:separator/>
      </w:r>
    </w:p>
  </w:endnote>
  <w:endnote w:type="continuationSeparator" w:id="0">
    <w:p w:rsidR="00236A7D" w:rsidRDefault="00236A7D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9DDF9FA" wp14:editId="23CBADAF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D" w:rsidRDefault="00236A7D" w:rsidP="00830148">
      <w:pPr>
        <w:spacing w:after="0" w:line="240" w:lineRule="auto"/>
      </w:pPr>
      <w:r>
        <w:separator/>
      </w:r>
    </w:p>
  </w:footnote>
  <w:footnote w:type="continuationSeparator" w:id="0">
    <w:p w:rsidR="00236A7D" w:rsidRDefault="00236A7D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A01D7"/>
    <w:rsid w:val="00BC390C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3461C7EADF1AC593EE2250443BE8F9D10639B63BA5E075DEDEDFFFB8A756A702416011E6341F0C75789C9231iEP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3461C7EADF1AC593EE2250443BE8F9D10639BC35ABE075DEDEDFFFB8A756A702416011E6341F0C75789C9231iEP3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3461C7EADF1AC593EE2250443BE8F9D10538BD39A8E075DEDEDFFFB8A756A702416011E6341F0C75789C9231iEP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3461C7EADF1AC593EE2250443BE8F9D10639BC35ABE075DEDEDFFFB8A756A702416011E6341F0C75789C9231iEP3F" TargetMode="External"/><Relationship Id="rId10" Type="http://schemas.openxmlformats.org/officeDocument/2006/relationships/hyperlink" Target="consultantplus://offline/ref=423461C7EADF1AC593EE2250443BE8F9D10639BC35ABE075DEDEDFFFB8A756A702416011E6341F0C75789C9231iEP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3461C7EADF1AC593EE2250443BE8F9D10639B63AADE075DEDEDFFFB8A756A71041381DE63504097D32CFD666EFA54C785C20E0B08BA1i3P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7434-6B2C-4518-99B6-9553F1B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2021-03-25T05:18:00Z</dcterms:created>
  <dcterms:modified xsi:type="dcterms:W3CDTF">2021-03-25T05:18:00Z</dcterms:modified>
</cp:coreProperties>
</file>