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F2" w:rsidRPr="009042F2" w:rsidRDefault="009042F2" w:rsidP="009042F2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04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</w:t>
      </w:r>
      <w:r w:rsidRPr="009042F2">
        <w:rPr>
          <w:noProof/>
          <w:color w:val="000000" w:themeColor="text1"/>
          <w:lang w:eastAsia="ru-RU"/>
        </w:rPr>
        <w:drawing>
          <wp:inline distT="0" distB="0" distL="0" distR="0" wp14:anchorId="2191E4AD" wp14:editId="74FE9178">
            <wp:extent cx="1390650" cy="1095375"/>
            <wp:effectExtent l="0" t="0" r="0" b="9525"/>
            <wp:docPr id="2" name="Рисунок 2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44" cy="1096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42F2" w:rsidRPr="009042F2" w:rsidRDefault="009042F2" w:rsidP="0025550E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57A36" w:rsidRPr="009042F2" w:rsidRDefault="00557A36" w:rsidP="0025550E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042F2">
        <w:rPr>
          <w:rFonts w:ascii="Arial" w:hAnsi="Arial" w:cs="Arial"/>
          <w:b/>
          <w:bCs/>
          <w:color w:val="000000" w:themeColor="text1"/>
          <w:sz w:val="28"/>
          <w:szCs w:val="28"/>
        </w:rPr>
        <w:t>О ПРИМЕНЕНИИ В 2021Г. ЛИМИТОВ ДОХОДОВ ДЛЯ ПЕРЕХОДНОГО ПЕРИОДА ПО УСН</w:t>
      </w:r>
    </w:p>
    <w:p w:rsidR="00557A36" w:rsidRPr="009042F2" w:rsidRDefault="00557A36" w:rsidP="0055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57A36" w:rsidRPr="009042F2" w:rsidRDefault="00557A36" w:rsidP="0055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42F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Вопрос: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О предельном размере доходов для целей перехода на УСН и ее применения.</w:t>
      </w:r>
    </w:p>
    <w:p w:rsidR="00011866" w:rsidRPr="009042F2" w:rsidRDefault="00011866" w:rsidP="000118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11866" w:rsidRPr="009042F2" w:rsidRDefault="00C40F34" w:rsidP="00011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42F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Ответ: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11866" w:rsidRPr="009042F2">
        <w:rPr>
          <w:rFonts w:ascii="Arial" w:hAnsi="Arial" w:cs="Arial"/>
          <w:color w:val="000000" w:themeColor="text1"/>
          <w:sz w:val="28"/>
          <w:szCs w:val="28"/>
        </w:rPr>
        <w:t xml:space="preserve">Департамент налоговой политики </w:t>
      </w:r>
      <w:r w:rsidR="00557A36" w:rsidRPr="009042F2">
        <w:rPr>
          <w:rFonts w:ascii="Arial" w:hAnsi="Arial" w:cs="Arial"/>
          <w:color w:val="000000" w:themeColor="text1"/>
          <w:sz w:val="28"/>
          <w:szCs w:val="28"/>
        </w:rPr>
        <w:t xml:space="preserve"> Министерства финансов письмом от 01.02.2021г. №03-1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1-06//5885, </w:t>
      </w:r>
      <w:r w:rsidR="00557A36" w:rsidRPr="009042F2">
        <w:rPr>
          <w:rFonts w:ascii="Arial" w:hAnsi="Arial" w:cs="Arial"/>
          <w:color w:val="000000" w:themeColor="text1"/>
          <w:sz w:val="28"/>
          <w:szCs w:val="28"/>
        </w:rPr>
        <w:t>рассмотрев обращение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>,</w:t>
      </w:r>
      <w:r w:rsidR="00011866" w:rsidRPr="009042F2">
        <w:rPr>
          <w:rFonts w:ascii="Arial" w:hAnsi="Arial" w:cs="Arial"/>
          <w:color w:val="000000" w:themeColor="text1"/>
          <w:sz w:val="28"/>
          <w:szCs w:val="28"/>
        </w:rPr>
        <w:t xml:space="preserve"> со</w:t>
      </w:r>
      <w:r w:rsidR="00557A36" w:rsidRPr="009042F2">
        <w:rPr>
          <w:rFonts w:ascii="Arial" w:hAnsi="Arial" w:cs="Arial"/>
          <w:color w:val="000000" w:themeColor="text1"/>
          <w:sz w:val="28"/>
          <w:szCs w:val="28"/>
        </w:rPr>
        <w:t>общил</w:t>
      </w:r>
      <w:r w:rsidR="00011866" w:rsidRPr="009042F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011866" w:rsidRPr="009042F2" w:rsidRDefault="00011866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пунктом 2 статьи 346.12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Налогового кодекса Российской Федерации организация имеет право перейти на упрощенную систему налогообложения, если по итогам девяти месяцев того года, в котором организация подает уведомление о переходе на упрощенную систему налогообложения, доходы, определяемые в соответствии со </w:t>
      </w:r>
      <w:hyperlink r:id="rId9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статьей 248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Кодекса, не превысили 112,5 млн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.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рублей.</w:t>
      </w:r>
    </w:p>
    <w:p w:rsidR="00011866" w:rsidRPr="009042F2" w:rsidRDefault="00011866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42F2">
        <w:rPr>
          <w:rFonts w:ascii="Arial" w:hAnsi="Arial" w:cs="Arial"/>
          <w:color w:val="000000" w:themeColor="text1"/>
          <w:sz w:val="28"/>
          <w:szCs w:val="28"/>
        </w:rPr>
        <w:t>Указанная величина предельного размера доходов организации, ограничивающая право организации перейти на упрощенную систему налогообложения, подлежит индексации не позднее 31 декабря текущего года на коэффициент-дефлятор, установленный на следующий календарный год.</w:t>
      </w:r>
    </w:p>
    <w:p w:rsidR="00011866" w:rsidRPr="009042F2" w:rsidRDefault="00011866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пункту 4 статьи 346.13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Кодекса 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(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>в редакции Федерального закона от 31.07.2020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г. №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266-ФЗ "О внесении изменений в главу 26.2 части второй Налогового кодекса Российской Федерации и статью 2 Федерального закона "О внесении изменений в часть вторую Налогового кодекса Российской Федерац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ии" (далее - Федеральный закон №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266-ФЗ), если по итогам отчетного (налогового) периода доходы налогоплательщика, определяемые в соответствии со </w:t>
      </w:r>
      <w:hyperlink r:id="rId11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статьей 346.15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и</w:t>
      </w:r>
      <w:proofErr w:type="gramEnd"/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с </w:t>
      </w:r>
      <w:hyperlink r:id="rId12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подпунктами 1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3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3 пункта 1 статьи 346.25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Кодекса, превысили 200 млн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.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рублей, такой налогоплательщик считается утратившим право на применение 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УСН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с начала того квартала, в котором допущено указанное превышение доходов.</w:t>
      </w:r>
    </w:p>
    <w:p w:rsidR="00011866" w:rsidRPr="009042F2" w:rsidRDefault="00011866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Указанные в названном </w:t>
      </w:r>
      <w:hyperlink r:id="rId14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пункте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5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пункте 4.1 статьи 346.13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6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пунктах 1.1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7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2.1 статьи 346.20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8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абзаце втором пункта 1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19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абзаце втором пункта 3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20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абзаце втором пункта 4 статьи 346.21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Кодекса величины доходов налогоплательщика подлежат индексации в порядке, предусмотренном </w:t>
      </w:r>
      <w:hyperlink r:id="rId21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пунктом 2 статьи 346.12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Кодекса.</w:t>
      </w:r>
    </w:p>
    <w:p w:rsidR="00011866" w:rsidRPr="009042F2" w:rsidRDefault="00E239F3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22" w:history="1">
        <w:r w:rsidR="00011866" w:rsidRPr="009042F2">
          <w:rPr>
            <w:rFonts w:ascii="Arial" w:hAnsi="Arial" w:cs="Arial"/>
            <w:color w:val="000000" w:themeColor="text1"/>
            <w:sz w:val="28"/>
            <w:szCs w:val="28"/>
          </w:rPr>
          <w:t>Приказом</w:t>
        </w:r>
      </w:hyperlink>
      <w:r w:rsidR="00011866" w:rsidRPr="009042F2">
        <w:rPr>
          <w:rFonts w:ascii="Arial" w:hAnsi="Arial" w:cs="Arial"/>
          <w:color w:val="000000" w:themeColor="text1"/>
          <w:sz w:val="28"/>
          <w:szCs w:val="28"/>
        </w:rPr>
        <w:t xml:space="preserve"> Минэкономразвития России от 30.10.2020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г. №</w:t>
      </w:r>
      <w:r w:rsidR="00011866" w:rsidRPr="009042F2">
        <w:rPr>
          <w:rFonts w:ascii="Arial" w:hAnsi="Arial" w:cs="Arial"/>
          <w:color w:val="000000" w:themeColor="text1"/>
          <w:sz w:val="28"/>
          <w:szCs w:val="28"/>
        </w:rPr>
        <w:t xml:space="preserve"> 720 на 2021 год установлен коэффициент-дефлятор, необходимый в целях применения </w:t>
      </w:r>
      <w:hyperlink r:id="rId23" w:history="1">
        <w:r w:rsidR="00011866" w:rsidRPr="009042F2">
          <w:rPr>
            <w:rFonts w:ascii="Arial" w:hAnsi="Arial" w:cs="Arial"/>
            <w:color w:val="000000" w:themeColor="text1"/>
            <w:sz w:val="28"/>
            <w:szCs w:val="28"/>
          </w:rPr>
          <w:t>главы 26.2</w:t>
        </w:r>
      </w:hyperlink>
      <w:r w:rsidR="00011866" w:rsidRPr="009042F2">
        <w:rPr>
          <w:rFonts w:ascii="Arial" w:hAnsi="Arial" w:cs="Arial"/>
          <w:color w:val="000000" w:themeColor="text1"/>
          <w:sz w:val="28"/>
          <w:szCs w:val="28"/>
        </w:rPr>
        <w:t xml:space="preserve"> "Упрощенная система налогообложения" Кодекса, в размере 1,032.</w:t>
      </w:r>
    </w:p>
    <w:p w:rsidR="00011866" w:rsidRPr="009042F2" w:rsidRDefault="00011866" w:rsidP="0025550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042F2">
        <w:rPr>
          <w:rFonts w:ascii="Arial" w:hAnsi="Arial" w:cs="Arial"/>
          <w:color w:val="000000" w:themeColor="text1"/>
          <w:sz w:val="28"/>
          <w:szCs w:val="28"/>
        </w:rPr>
        <w:lastRenderedPageBreak/>
        <w:t>В этой связи величина предельного размера доходов организации, ограничивающая право организации перейти на упрощенную систему</w:t>
      </w:r>
      <w:r w:rsidR="0025550E" w:rsidRPr="009042F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>налогообложения, с 1 января 2021 года составляет 112,5 млн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.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рублей, с 1 января 2022 года - 116,1 млн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.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рублей (112,5 млн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.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рублей x 1,032).</w:t>
      </w:r>
    </w:p>
    <w:p w:rsidR="00011866" w:rsidRDefault="00011866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Учитывая, что Федеральный </w:t>
      </w:r>
      <w:hyperlink r:id="rId24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закон</w:t>
        </w:r>
      </w:hyperlink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 xml:space="preserve"> №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266-ФЗ, предусматривающий увеличение ограничения по доходам налогоплательщиков до 200 млн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.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рублей, вступил в силу с 01.01.2021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г.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, указанная в </w:t>
      </w:r>
      <w:hyperlink r:id="rId25" w:history="1">
        <w:r w:rsidRPr="009042F2">
          <w:rPr>
            <w:rFonts w:ascii="Arial" w:hAnsi="Arial" w:cs="Arial"/>
            <w:color w:val="000000" w:themeColor="text1"/>
            <w:sz w:val="28"/>
            <w:szCs w:val="28"/>
          </w:rPr>
          <w:t>пункте 4 статьи 346.13</w:t>
        </w:r>
      </w:hyperlink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Кодекса величина предельного размера дохода (200 млн</w:t>
      </w:r>
      <w:r w:rsidR="00C40F34" w:rsidRPr="009042F2">
        <w:rPr>
          <w:rFonts w:ascii="Arial" w:hAnsi="Arial" w:cs="Arial"/>
          <w:color w:val="000000" w:themeColor="text1"/>
          <w:sz w:val="28"/>
          <w:szCs w:val="28"/>
        </w:rPr>
        <w:t>.</w:t>
      </w:r>
      <w:r w:rsidRPr="009042F2">
        <w:rPr>
          <w:rFonts w:ascii="Arial" w:hAnsi="Arial" w:cs="Arial"/>
          <w:color w:val="000000" w:themeColor="text1"/>
          <w:sz w:val="28"/>
          <w:szCs w:val="28"/>
        </w:rPr>
        <w:t xml:space="preserve"> рублей) индексации на названный коэффициент-дефлятор не подлежит</w:t>
      </w:r>
      <w:r w:rsidRPr="00557A36">
        <w:rPr>
          <w:rFonts w:ascii="Arial" w:hAnsi="Arial" w:cs="Arial"/>
          <w:sz w:val="28"/>
          <w:szCs w:val="28"/>
        </w:rPr>
        <w:t>.</w:t>
      </w: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40F34" w:rsidRDefault="00C40F34" w:rsidP="000118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sectPr w:rsidR="00C40F34" w:rsidSect="00376DC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0" w:right="566" w:bottom="568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06" w:rsidRDefault="00C02206" w:rsidP="00C02206">
      <w:pPr>
        <w:spacing w:after="0" w:line="240" w:lineRule="auto"/>
      </w:pPr>
      <w:r>
        <w:separator/>
      </w:r>
    </w:p>
  </w:endnote>
  <w:endnote w:type="continuationSeparator" w:id="0">
    <w:p w:rsidR="00C02206" w:rsidRDefault="00C02206" w:rsidP="00C0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F3" w:rsidRDefault="00E239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0E" w:rsidRDefault="0025550E">
    <w:pPr>
      <w:pStyle w:val="a7"/>
    </w:pPr>
  </w:p>
  <w:p w:rsidR="0025550E" w:rsidRDefault="00E239F3" w:rsidP="009042F2">
    <w:pPr>
      <w:pStyle w:val="a7"/>
      <w:ind w:firstLine="708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5DBAEF2" wp14:editId="57D339D4">
          <wp:extent cx="5940425" cy="518795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25550E" w:rsidRDefault="0025550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F3" w:rsidRDefault="00E239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06" w:rsidRDefault="00C02206" w:rsidP="00C02206">
      <w:pPr>
        <w:spacing w:after="0" w:line="240" w:lineRule="auto"/>
      </w:pPr>
      <w:r>
        <w:separator/>
      </w:r>
    </w:p>
  </w:footnote>
  <w:footnote w:type="continuationSeparator" w:id="0">
    <w:p w:rsidR="00C02206" w:rsidRDefault="00C02206" w:rsidP="00C0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F3" w:rsidRDefault="00E239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06" w:rsidRDefault="00C02206">
    <w:pPr>
      <w:pStyle w:val="a5"/>
    </w:pPr>
  </w:p>
  <w:p w:rsidR="00C02206" w:rsidRDefault="00C022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F3" w:rsidRDefault="00E239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2B"/>
    <w:rsid w:val="00011866"/>
    <w:rsid w:val="0025550E"/>
    <w:rsid w:val="00376DC5"/>
    <w:rsid w:val="00557A36"/>
    <w:rsid w:val="009042F2"/>
    <w:rsid w:val="00C02206"/>
    <w:rsid w:val="00C40F34"/>
    <w:rsid w:val="00CD4D5B"/>
    <w:rsid w:val="00E239F3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206"/>
  </w:style>
  <w:style w:type="paragraph" w:styleId="a7">
    <w:name w:val="footer"/>
    <w:basedOn w:val="a"/>
    <w:link w:val="a8"/>
    <w:uiPriority w:val="99"/>
    <w:unhideWhenUsed/>
    <w:rsid w:val="00C0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206"/>
  </w:style>
  <w:style w:type="table" w:styleId="a9">
    <w:name w:val="Table Grid"/>
    <w:basedOn w:val="a1"/>
    <w:uiPriority w:val="39"/>
    <w:rsid w:val="0025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F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206"/>
  </w:style>
  <w:style w:type="paragraph" w:styleId="a7">
    <w:name w:val="footer"/>
    <w:basedOn w:val="a"/>
    <w:link w:val="a8"/>
    <w:uiPriority w:val="99"/>
    <w:unhideWhenUsed/>
    <w:rsid w:val="00C02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206"/>
  </w:style>
  <w:style w:type="table" w:styleId="a9">
    <w:name w:val="Table Grid"/>
    <w:basedOn w:val="a1"/>
    <w:uiPriority w:val="39"/>
    <w:rsid w:val="0025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F965002342872515719736A18A16DDDC3FBF94EEE508ACB0B3CF3A3AC792BFB9CE2DD4C824A3D12C6E701E285B3D340AEA1BDB395B2v56AE" TargetMode="External"/><Relationship Id="rId13" Type="http://schemas.openxmlformats.org/officeDocument/2006/relationships/hyperlink" Target="consultantplus://offline/ref=95FF965002342872515719736A18A16DDDC3FBF94EEE508ACB0B3CF3A3AC792BFB9CE2DD488A4C374DC3F210BA89B7C85EACBDA1B197vB61E" TargetMode="External"/><Relationship Id="rId18" Type="http://schemas.openxmlformats.org/officeDocument/2006/relationships/hyperlink" Target="consultantplus://offline/ref=95FF965002342872515719736A18A16DDDC3FBF94EEE508ACB0B3CF3A3AC792BFB9CE2DD47824E3A12C6E701E285B3D340AEA1BDB395B2v56A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FF965002342872515719736A18A16DDDC3FBF94EEE508ACB0B3CF3A3AC792BFB9CE2DB49824C374DC3F210BA89B7C85EACBDA1B197vB61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5FF965002342872515719736A18A16DDDC3FBF94EEE508ACB0B3CF3A3AC792BFB9CE2DD488B44374DC3F210BA89B7C85EACBDA1B197vB61E" TargetMode="External"/><Relationship Id="rId17" Type="http://schemas.openxmlformats.org/officeDocument/2006/relationships/hyperlink" Target="consultantplus://offline/ref=95FF965002342872515719736A18A16DDDC3FBF94EEE508ACB0B3CF3A3AC792BFB9CE2DD47824E3D12C6E701E285B3D340AEA1BDB395B2v56AE" TargetMode="External"/><Relationship Id="rId25" Type="http://schemas.openxmlformats.org/officeDocument/2006/relationships/hyperlink" Target="consultantplus://offline/ref=95FF965002342872515719736A18A16DDDC3FBF94EEE508ACB0B3CF3A3AC792BFB9CE2DD47824C3512C6E701E285B3D340AEA1BDB395B2v56A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FF965002342872515719736A18A16DDDC3FBF94EEE508ACB0B3CF3A3AC792BFB9CE2DD47824D3B12C6E701E285B3D340AEA1BDB395B2v56AE" TargetMode="External"/><Relationship Id="rId20" Type="http://schemas.openxmlformats.org/officeDocument/2006/relationships/hyperlink" Target="consultantplus://offline/ref=95FF965002342872515719736A18A16DDDC3FBF94EEE508ACB0B3CF3A3AC792BFB9CE2DD47824F3812C6E701E285B3D340AEA1BDB395B2v56AE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FF965002342872515719736A18A16DDDC3FBF94EEE508ACB0B3CF3A3AC792BFB9CE2DD4F884A3D1099E214F3DDBFD75BB0A3A1AF97B059v164E" TargetMode="External"/><Relationship Id="rId24" Type="http://schemas.openxmlformats.org/officeDocument/2006/relationships/hyperlink" Target="consultantplus://offline/ref=95FF965002342872515719736A18A16DDDC1F2F74EEF508ACB0B3CF3A3AC792BE99CBAD14E8E523C1B8CB445B5v869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FF965002342872515719736A18A16DDDC3FBF94EEE508ACB0B3CF3A3AC792BFB9CE2DD47824D3F12C6E701E285B3D340AEA1BDB395B2v56AE" TargetMode="External"/><Relationship Id="rId23" Type="http://schemas.openxmlformats.org/officeDocument/2006/relationships/hyperlink" Target="consultantplus://offline/ref=95FF965002342872515719736A18A16DDDC3FBF94EEE508ACB0B3CF3A3AC792BFB9CE2DD4F88493B1B99E214F3DDBFD75BB0A3A1AF97B059v164E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5FF965002342872515719736A18A16DDDC3FBF94EEE508ACB0B3CF3A3AC792BFB9CE2DD47824C3512C6E701E285B3D340AEA1BDB395B2v56AE" TargetMode="External"/><Relationship Id="rId19" Type="http://schemas.openxmlformats.org/officeDocument/2006/relationships/hyperlink" Target="consultantplus://offline/ref=95FF965002342872515719736A18A16DDDC3FBF94EEE508ACB0B3CF3A3AC792BFB9CE2DD47824F3C12C6E701E285B3D340AEA1BDB395B2v56AE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F965002342872515719736A18A16DDDC3FBF94EEE508ACB0B3CF3A3AC792BFB9CE2DD4F8A44381F99E214F3DDBFD75BB0A3A1AF97B059v164E" TargetMode="External"/><Relationship Id="rId14" Type="http://schemas.openxmlformats.org/officeDocument/2006/relationships/hyperlink" Target="consultantplus://offline/ref=95FF965002342872515719736A18A16DDDC3FBF94EEE508ACB0B3CF3A3AC792BFB9CE2DD47824C3512C6E701E285B3D340AEA1BDB395B2v56AE" TargetMode="External"/><Relationship Id="rId22" Type="http://schemas.openxmlformats.org/officeDocument/2006/relationships/hyperlink" Target="consultantplus://offline/ref=95FF965002342872515719736A18A16DDDC2FDF949E8508ACB0B3CF3A3AC792BFB9CE2DD4F8B4C3C1E99E214F3DDBFD75BB0A3A1AF97B059v164E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Яловая Людмила Анатольевна</dc:creator>
  <cp:keywords/>
  <dc:description/>
  <cp:lastModifiedBy>Кирилюк Оксана Витальевна</cp:lastModifiedBy>
  <cp:revision>10</cp:revision>
  <dcterms:created xsi:type="dcterms:W3CDTF">2021-02-15T04:58:00Z</dcterms:created>
  <dcterms:modified xsi:type="dcterms:W3CDTF">2021-03-16T07:46:00Z</dcterms:modified>
</cp:coreProperties>
</file>