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4B" w:rsidRDefault="00F2284B">
      <w:pPr>
        <w:pStyle w:val="ConsPlusTitlePage"/>
      </w:pPr>
      <w:r>
        <w:br/>
      </w:r>
    </w:p>
    <w:p w:rsidR="00F2284B" w:rsidRDefault="00F2284B">
      <w:pPr>
        <w:pStyle w:val="ConsPlusNormal"/>
        <w:ind w:firstLine="540"/>
        <w:jc w:val="both"/>
        <w:outlineLvl w:val="0"/>
      </w:pP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  <w:r w:rsidRPr="00F2284B">
        <w:rPr>
          <w:sz w:val="28"/>
          <w:szCs w:val="28"/>
        </w:rPr>
        <w:t>ФЕДЕРАЛЬНАЯ НАЛОГОВАЯ СЛУЖБА</w:t>
      </w: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  <w:r w:rsidRPr="00F2284B">
        <w:rPr>
          <w:sz w:val="28"/>
          <w:szCs w:val="28"/>
        </w:rPr>
        <w:t>ИНФОРМАЦИЯ</w:t>
      </w: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  <w:r w:rsidRPr="00F2284B">
        <w:rPr>
          <w:sz w:val="28"/>
          <w:szCs w:val="28"/>
        </w:rPr>
        <w:t>ФНС РОССИИ РАЗЪЯСНИЛА</w:t>
      </w: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  <w:r w:rsidRPr="00F2284B">
        <w:rPr>
          <w:sz w:val="28"/>
          <w:szCs w:val="28"/>
        </w:rPr>
        <w:t>ИЗМЕНЕНИЯ В ПРАВИЛАХ НАЛОГООБЛОЖЕНИЯ ИМУЩЕСТВА ОРГАНИЗАЦИЙ</w:t>
      </w:r>
    </w:p>
    <w:p w:rsidR="00F2284B" w:rsidRPr="00F2284B" w:rsidRDefault="00F2284B">
      <w:pPr>
        <w:pStyle w:val="ConsPlusTitle"/>
        <w:jc w:val="center"/>
        <w:rPr>
          <w:sz w:val="28"/>
          <w:szCs w:val="28"/>
        </w:rPr>
      </w:pPr>
      <w:r w:rsidRPr="00F2284B">
        <w:rPr>
          <w:sz w:val="28"/>
          <w:szCs w:val="28"/>
        </w:rPr>
        <w:t>С НАЛОГОВОГО ПЕРИОДА 2020 ГОДА</w:t>
      </w:r>
    </w:p>
    <w:p w:rsidR="00F2284B" w:rsidRPr="00F2284B" w:rsidRDefault="00F2284B">
      <w:pPr>
        <w:pStyle w:val="ConsPlusNormal"/>
        <w:jc w:val="center"/>
        <w:rPr>
          <w:sz w:val="28"/>
          <w:szCs w:val="28"/>
        </w:rPr>
      </w:pPr>
    </w:p>
    <w:p w:rsidR="00F2284B" w:rsidRPr="00F2284B" w:rsidRDefault="00F2284B">
      <w:pPr>
        <w:pStyle w:val="ConsPlusNormal"/>
        <w:ind w:firstLine="540"/>
        <w:jc w:val="both"/>
        <w:rPr>
          <w:sz w:val="28"/>
          <w:szCs w:val="28"/>
        </w:rPr>
      </w:pPr>
      <w:r w:rsidRPr="00F2284B">
        <w:rPr>
          <w:sz w:val="28"/>
          <w:szCs w:val="28"/>
        </w:rPr>
        <w:t>ФНС России разъяснила изменения в правилах налогообложения имущества организаций с налогового периода 2020 года, которые введены новыми федеральными законами.</w:t>
      </w:r>
    </w:p>
    <w:p w:rsidR="00F2284B" w:rsidRPr="00F2284B" w:rsidRDefault="00F2284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2284B">
        <w:rPr>
          <w:sz w:val="28"/>
          <w:szCs w:val="28"/>
        </w:rPr>
        <w:t>Так, заявления организаций о предоставлении льготы по транспортному или земельному налогам будут рассматриваться налоговым органом в течение 30 дней со дня получения. Если инспекция направит дополнительный запрос о предоставлении сведений, подтверждающих право на налоговую льготу, то указанный срок может быть продлен на 30 дней, о чем налогоплательщик будет уведомлен. По результатам рассмотрения заявления организация получит уведомление о предоставлении налоговой льготы либо сообщение об отказе.</w:t>
      </w:r>
    </w:p>
    <w:p w:rsidR="00F2284B" w:rsidRPr="00F2284B" w:rsidRDefault="00F2284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2284B">
        <w:rPr>
          <w:sz w:val="28"/>
          <w:szCs w:val="28"/>
        </w:rPr>
        <w:t xml:space="preserve">С налогового периода 2020 года исключается условие учета объектов недвижимости на балансе в качестве основных средств </w:t>
      </w:r>
      <w:proofErr w:type="gramStart"/>
      <w:r w:rsidRPr="00F2284B">
        <w:rPr>
          <w:sz w:val="28"/>
          <w:szCs w:val="28"/>
        </w:rPr>
        <w:t>организации</w:t>
      </w:r>
      <w:proofErr w:type="gramEnd"/>
      <w:r w:rsidRPr="00F2284B">
        <w:rPr>
          <w:sz w:val="28"/>
          <w:szCs w:val="28"/>
        </w:rPr>
        <w:t xml:space="preserve"> для их налогообложения исходя из кадастровой стоимости. К таким объектам относятся административно-деловые, торговые центры (комплексы), нежилые помещения, объекты недвижимости отдельных иностранных организаций. Субъекты РФ получили право дополнительно определять иные виды объектов недвижимости, которые будут облагаться налогом на имущество организаций по кадастровой стоимости. </w:t>
      </w:r>
      <w:proofErr w:type="gramStart"/>
      <w:r w:rsidRPr="00F2284B">
        <w:rPr>
          <w:sz w:val="28"/>
          <w:szCs w:val="28"/>
        </w:rPr>
        <w:t xml:space="preserve">Например, гаражи, </w:t>
      </w:r>
      <w:proofErr w:type="spellStart"/>
      <w:r w:rsidRPr="00F2284B">
        <w:rPr>
          <w:sz w:val="28"/>
          <w:szCs w:val="28"/>
        </w:rPr>
        <w:t>машино</w:t>
      </w:r>
      <w:proofErr w:type="spellEnd"/>
      <w:r w:rsidRPr="00F2284B">
        <w:rPr>
          <w:sz w:val="28"/>
          <w:szCs w:val="28"/>
        </w:rPr>
        <w:t xml:space="preserve">-места, единые недвижимые комплексы, объекты незавершенного строительства, садовые дома, </w:t>
      </w:r>
      <w:proofErr w:type="spellStart"/>
      <w:r w:rsidRPr="00F2284B">
        <w:rPr>
          <w:sz w:val="28"/>
          <w:szCs w:val="28"/>
        </w:rPr>
        <w:t>хозпостройки</w:t>
      </w:r>
      <w:proofErr w:type="spellEnd"/>
      <w:r w:rsidRPr="00F2284B">
        <w:rPr>
          <w:sz w:val="28"/>
          <w:szCs w:val="28"/>
        </w:rPr>
        <w:t>, расположенные на садовых или приусадебных участках, иные здания, строения, сооружения, помещения определенных видов.</w:t>
      </w:r>
      <w:proofErr w:type="gramEnd"/>
      <w:r w:rsidRPr="00F2284B">
        <w:rPr>
          <w:sz w:val="28"/>
          <w:szCs w:val="28"/>
        </w:rPr>
        <w:t xml:space="preserve"> Об этом внесены изменения в </w:t>
      </w:r>
      <w:hyperlink r:id="rId5" w:history="1">
        <w:proofErr w:type="spellStart"/>
        <w:r w:rsidRPr="00F2284B">
          <w:rPr>
            <w:color w:val="0000FF"/>
            <w:sz w:val="28"/>
            <w:szCs w:val="28"/>
          </w:rPr>
          <w:t>пп</w:t>
        </w:r>
        <w:proofErr w:type="spellEnd"/>
        <w:r w:rsidRPr="00F2284B">
          <w:rPr>
            <w:color w:val="0000FF"/>
            <w:sz w:val="28"/>
            <w:szCs w:val="28"/>
          </w:rPr>
          <w:t>. 4 п. 1 ст. 378.2</w:t>
        </w:r>
      </w:hyperlink>
      <w:r w:rsidRPr="00F2284B">
        <w:rPr>
          <w:sz w:val="28"/>
          <w:szCs w:val="28"/>
        </w:rPr>
        <w:t xml:space="preserve"> НК РФ.</w:t>
      </w:r>
    </w:p>
    <w:p w:rsidR="00F2284B" w:rsidRPr="00F2284B" w:rsidRDefault="00F2284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2284B">
        <w:rPr>
          <w:sz w:val="28"/>
          <w:szCs w:val="28"/>
        </w:rPr>
        <w:t>Также с 2020 года от транспортного налога и налога на имущество освобождены водные суда, зарегистрированные в Российском открытом реестре судов, и воздушные суда, зарегистрированные в Государственном реестре гражданских воздушных судов. При условии, что они принадлежат лицам, получившим статус участника специального административного района на территории Калининградской области и Приморского края.</w:t>
      </w:r>
    </w:p>
    <w:p w:rsidR="00F2284B" w:rsidRPr="00F2284B" w:rsidRDefault="00F2284B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F2284B">
        <w:rPr>
          <w:sz w:val="28"/>
          <w:szCs w:val="28"/>
        </w:rPr>
        <w:t xml:space="preserve">С 2021 года установлены единые сроки </w:t>
      </w:r>
      <w:bookmarkStart w:id="0" w:name="_GoBack"/>
      <w:r w:rsidRPr="00F2284B">
        <w:rPr>
          <w:sz w:val="28"/>
          <w:szCs w:val="28"/>
        </w:rPr>
        <w:t xml:space="preserve">уплаты </w:t>
      </w:r>
      <w:bookmarkEnd w:id="0"/>
      <w:r w:rsidRPr="00F2284B">
        <w:rPr>
          <w:sz w:val="28"/>
          <w:szCs w:val="28"/>
        </w:rPr>
        <w:t xml:space="preserve">транспортного и земельного налогов для организаций - не позднее 1 марта года, следующего за истекшим налоговым периодом. Для авансовых платежей по указанным налогам - не позднее последнего числа месяца, следующего за истекшим отчетным периодом. Изменения </w:t>
      </w:r>
      <w:proofErr w:type="gramStart"/>
      <w:r w:rsidRPr="00F2284B">
        <w:rPr>
          <w:sz w:val="28"/>
          <w:szCs w:val="28"/>
        </w:rPr>
        <w:t>применяются</w:t>
      </w:r>
      <w:proofErr w:type="gramEnd"/>
      <w:r w:rsidRPr="00F2284B">
        <w:rPr>
          <w:sz w:val="28"/>
          <w:szCs w:val="28"/>
        </w:rPr>
        <w:t xml:space="preserve"> начиная с уплаты налогов за налоговый период 2020 года.</w:t>
      </w:r>
    </w:p>
    <w:p w:rsidR="00F2284B" w:rsidRPr="00F2284B" w:rsidRDefault="00F22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 wp14:anchorId="1EF2E026" wp14:editId="668DD22B">
            <wp:extent cx="69246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69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C77" w:rsidRPr="00F2284B" w:rsidRDefault="00F2284B">
      <w:pPr>
        <w:rPr>
          <w:sz w:val="28"/>
          <w:szCs w:val="28"/>
        </w:rPr>
      </w:pPr>
    </w:p>
    <w:sectPr w:rsidR="000A0C77" w:rsidRPr="00F2284B" w:rsidSect="00F2284B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4B"/>
    <w:rsid w:val="00CB24D6"/>
    <w:rsid w:val="00F2284B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2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8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22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B655119254B4BCF0B1F625731323917A5838A5FEFDDA3E1C5B56FC56DA6512ED76F518A15AF5F875A98901E5EEE42745C6D612B453016CdBH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2020-12-29T04:07:00Z</dcterms:created>
  <dcterms:modified xsi:type="dcterms:W3CDTF">2020-12-29T04:10:00Z</dcterms:modified>
</cp:coreProperties>
</file>