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Социальный проект «Карта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</w:t>
      </w:r>
      <w:r>
        <w:rPr>
          <w:rFonts w:ascii="Times New Roman" w:hAnsi="Times New Roman" w:cs="Times New Roman"/>
          <w:b/>
          <w:sz w:val="28"/>
          <w:szCs w:val="28"/>
        </w:rPr>
        <w:t xml:space="preserve">орец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4075" cy="3629025"/>
                <wp:effectExtent l="0" t="0" r="0" b="0"/>
                <wp:docPr id="1" name="_x0000_i10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34075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25pt;height:285.75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 инициативе Губернатора </w:t>
      </w:r>
      <w:r>
        <w:rPr>
          <w:rFonts w:ascii="Times New Roman" w:hAnsi="Times New Roman" w:cs="Times New Roman"/>
          <w:sz w:val="28"/>
          <w:szCs w:val="28"/>
        </w:rPr>
        <w:t xml:space="preserve">О.Н.</w:t>
      </w:r>
      <w:r>
        <w:rPr>
          <w:rFonts w:ascii="Times New Roman" w:hAnsi="Times New Roman" w:cs="Times New Roman"/>
          <w:sz w:val="28"/>
          <w:szCs w:val="28"/>
        </w:rPr>
        <w:t xml:space="preserve"> Кожемяко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с 2019 года ре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лизуется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ный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Приморец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основно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целью которого яв</w:t>
      </w:r>
      <w:r>
        <w:rPr>
          <w:rFonts w:ascii="Times New Roman" w:hAnsi="Times New Roman" w:cs="Times New Roman"/>
          <w:sz w:val="28"/>
          <w:szCs w:val="28"/>
        </w:rPr>
        <w:t xml:space="preserve">ляет</w:t>
      </w:r>
      <w:r>
        <w:rPr>
          <w:rFonts w:ascii="Times New Roman" w:hAnsi="Times New Roman" w:cs="Times New Roman"/>
          <w:sz w:val="28"/>
          <w:szCs w:val="28"/>
        </w:rPr>
        <w:t xml:space="preserve"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улу</w:t>
      </w:r>
      <w:r>
        <w:rPr>
          <w:rFonts w:ascii="Times New Roman" w:hAnsi="Times New Roman" w:cs="Times New Roman"/>
          <w:sz w:val="28"/>
          <w:szCs w:val="28"/>
        </w:rPr>
        <w:t xml:space="preserve">чшение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жизни жите</w:t>
      </w:r>
      <w:r>
        <w:rPr>
          <w:rFonts w:ascii="Times New Roman" w:hAnsi="Times New Roman" w:cs="Times New Roman"/>
          <w:sz w:val="28"/>
          <w:szCs w:val="28"/>
        </w:rPr>
        <w:t xml:space="preserve">лей края, </w:t>
      </w:r>
      <w:r>
        <w:rPr>
          <w:rFonts w:ascii="Times New Roman" w:hAnsi="Times New Roman" w:cs="Times New Roman"/>
          <w:sz w:val="28"/>
          <w:szCs w:val="28"/>
        </w:rPr>
        <w:t xml:space="preserve">нуждающихся в социально</w:t>
      </w:r>
      <w:r>
        <w:rPr>
          <w:rFonts w:ascii="Times New Roman" w:hAnsi="Times New Roman" w:cs="Times New Roman"/>
          <w:sz w:val="28"/>
          <w:szCs w:val="28"/>
        </w:rPr>
        <w:t xml:space="preserve">й поддержке.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Приморец</w:t>
      </w:r>
      <w:r>
        <w:rPr>
          <w:rFonts w:ascii="Times New Roman" w:hAnsi="Times New Roman" w:cs="Times New Roman"/>
          <w:b/>
          <w:sz w:val="28"/>
          <w:szCs w:val="28"/>
        </w:rPr>
        <w:t xml:space="preserve">» объединяет в себе: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*фу</w:t>
      </w:r>
      <w:r>
        <w:rPr>
          <w:rFonts w:ascii="Times New Roman" w:hAnsi="Times New Roman" w:cs="Times New Roman"/>
          <w:sz w:val="28"/>
          <w:szCs w:val="28"/>
        </w:rPr>
        <w:t xml:space="preserve">нкционал</w:t>
      </w:r>
      <w:r>
        <w:rPr>
          <w:rFonts w:ascii="Times New Roman" w:hAnsi="Times New Roman" w:cs="Times New Roman"/>
          <w:sz w:val="28"/>
          <w:szCs w:val="28"/>
        </w:rPr>
        <w:t xml:space="preserve"> банковской карты национа</w:t>
      </w:r>
      <w:r>
        <w:rPr>
          <w:rFonts w:ascii="Times New Roman" w:hAnsi="Times New Roman" w:cs="Times New Roman"/>
          <w:sz w:val="28"/>
          <w:szCs w:val="28"/>
        </w:rPr>
        <w:t xml:space="preserve">л</w:t>
      </w:r>
      <w:r>
        <w:rPr>
          <w:rFonts w:ascii="Times New Roman" w:hAnsi="Times New Roman" w:cs="Times New Roman"/>
          <w:sz w:val="28"/>
          <w:szCs w:val="28"/>
        </w:rPr>
        <w:t xml:space="preserve">ьной п</w:t>
      </w:r>
      <w:r>
        <w:rPr>
          <w:rFonts w:ascii="Times New Roman" w:hAnsi="Times New Roman" w:cs="Times New Roman"/>
          <w:sz w:val="28"/>
          <w:szCs w:val="28"/>
        </w:rPr>
        <w:t xml:space="preserve">л</w:t>
      </w:r>
      <w:r>
        <w:rPr>
          <w:rFonts w:ascii="Times New Roman" w:hAnsi="Times New Roman" w:cs="Times New Roman"/>
          <w:sz w:val="28"/>
          <w:szCs w:val="28"/>
        </w:rPr>
        <w:t xml:space="preserve">атёжной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(МИР), на которую идет перечисление пенсии, ра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личн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мер </w:t>
      </w:r>
      <w:r>
        <w:rPr>
          <w:rFonts w:ascii="Times New Roman" w:hAnsi="Times New Roman" w:cs="Times New Roman"/>
          <w:sz w:val="28"/>
          <w:szCs w:val="28"/>
        </w:rPr>
        <w:t xml:space="preserve">соци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льной поддержки и компенсаций в денежном </w:t>
      </w:r>
      <w:r>
        <w:rPr>
          <w:rFonts w:ascii="Times New Roman" w:hAnsi="Times New Roman" w:cs="Times New Roman"/>
          <w:sz w:val="28"/>
          <w:szCs w:val="28"/>
        </w:rPr>
        <w:t xml:space="preserve">эквиваленте и </w:t>
      </w:r>
      <w:r>
        <w:rPr>
          <w:rFonts w:ascii="Times New Roman" w:hAnsi="Times New Roman" w:cs="Times New Roman"/>
          <w:sz w:val="28"/>
          <w:szCs w:val="28"/>
        </w:rPr>
        <w:t xml:space="preserve">других выплат;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*у</w:t>
      </w:r>
      <w:r>
        <w:rPr>
          <w:rFonts w:ascii="Times New Roman" w:hAnsi="Times New Roman" w:cs="Times New Roman"/>
          <w:sz w:val="28"/>
          <w:szCs w:val="28"/>
        </w:rPr>
        <w:t xml:space="preserve">ниверсальный</w:t>
      </w:r>
      <w:r>
        <w:rPr>
          <w:rFonts w:ascii="Times New Roman" w:hAnsi="Times New Roman" w:cs="Times New Roman"/>
          <w:sz w:val="28"/>
          <w:szCs w:val="28"/>
        </w:rPr>
        <w:t xml:space="preserve"> сервис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программ</w:t>
      </w:r>
      <w:r>
        <w:rPr>
          <w:rFonts w:ascii="Times New Roman" w:hAnsi="Times New Roman" w:cs="Times New Roman"/>
          <w:sz w:val="28"/>
          <w:szCs w:val="28"/>
        </w:rPr>
        <w:t xml:space="preserve"> лояльности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</w:t>
      </w:r>
      <w:r>
        <w:rPr>
          <w:rFonts w:ascii="Times New Roman" w:hAnsi="Times New Roman" w:cs="Times New Roman"/>
          <w:sz w:val="28"/>
          <w:szCs w:val="28"/>
        </w:rPr>
        <w:t xml:space="preserve"> проекта, таких как сети магазинов </w:t>
      </w:r>
      <w:r>
        <w:rPr>
          <w:rFonts w:ascii="Times New Roman" w:hAnsi="Times New Roman" w:cs="Times New Roman"/>
          <w:sz w:val="28"/>
          <w:szCs w:val="28"/>
        </w:rPr>
        <w:t xml:space="preserve">розничной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торговли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undefined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аптечные сети, организации сферы ус</w:t>
      </w:r>
      <w:r>
        <w:rPr>
          <w:rFonts w:ascii="Times New Roman" w:hAnsi="Times New Roman" w:cs="Times New Roman"/>
          <w:sz w:val="28"/>
          <w:szCs w:val="28"/>
        </w:rPr>
        <w:t xml:space="preserve">луг, услуг здравоохранения и др.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*получение денежной выплаты для</w:t>
      </w:r>
      <w:r>
        <w:rPr>
          <w:rFonts w:ascii="Times New Roman" w:hAnsi="Times New Roman" w:cs="Times New Roman"/>
          <w:sz w:val="28"/>
          <w:szCs w:val="28"/>
        </w:rPr>
        <w:t xml:space="preserve"> оплаты </w:t>
      </w:r>
      <w:r>
        <w:rPr>
          <w:rFonts w:ascii="Times New Roman" w:hAnsi="Times New Roman" w:cs="Times New Roman"/>
          <w:sz w:val="28"/>
          <w:szCs w:val="28"/>
        </w:rPr>
        <w:t xml:space="preserve">проезда в городском транспорте.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8"/>
        <w:spacing w:before="0" w:after="0" w:afterAutospacing="0" w:line="276" w:lineRule="atLeast"/>
        <w:rPr>
          <w:rFonts w:ascii="Times New Roman" w:hAnsi="Times New Roman" w:cs="Times New Roman"/>
          <w:sz w:val="28"/>
          <w:szCs w:val="28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 xml:space="preserve">Проектом предусмотрена возможность получения карты следующими категориями граждан – жителями Приморского края: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</w:r>
    </w:p>
    <w:p>
      <w:pPr>
        <w:pStyle w:val="31"/>
        <w:numPr>
          <w:ilvl w:val="0"/>
          <w:numId w:val="1"/>
        </w:numPr>
        <w:ind w:right="0"/>
        <w:spacing w:before="0" w:after="0" w:afterAutospacing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имеющие звание «Ветеран труда»;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31"/>
        <w:numPr>
          <w:ilvl w:val="0"/>
          <w:numId w:val="1"/>
        </w:numPr>
        <w:ind w:right="0"/>
        <w:spacing w:before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нной войны (труженик тыла);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31"/>
        <w:numPr>
          <w:ilvl w:val="0"/>
          <w:numId w:val="1"/>
        </w:numPr>
        <w:ind w:right="0"/>
        <w:spacing w:before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относящиеся к категории "дети войны"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31"/>
        <w:numPr>
          <w:ilvl w:val="0"/>
          <w:numId w:val="1"/>
        </w:numPr>
        <w:ind w:right="0"/>
        <w:spacing w:before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признанные реабилитированными;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31"/>
        <w:numPr>
          <w:ilvl w:val="0"/>
          <w:numId w:val="1"/>
        </w:numPr>
        <w:ind w:right="0"/>
        <w:spacing w:before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признанные пострадавшими от политических репрессий;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31"/>
        <w:numPr>
          <w:ilvl w:val="0"/>
          <w:numId w:val="1"/>
        </w:numPr>
        <w:ind w:right="0"/>
        <w:spacing w:before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инвалиды войны;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31"/>
        <w:numPr>
          <w:ilvl w:val="0"/>
          <w:numId w:val="1"/>
        </w:numPr>
        <w:ind w:right="0"/>
        <w:spacing w:before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участники ВОВ;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31"/>
        <w:numPr>
          <w:ilvl w:val="0"/>
          <w:numId w:val="1"/>
        </w:numPr>
        <w:ind w:right="0"/>
        <w:spacing w:before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ветераны боевых действий;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31"/>
        <w:numPr>
          <w:ilvl w:val="0"/>
          <w:numId w:val="1"/>
        </w:numPr>
        <w:ind w:right="0"/>
        <w:spacing w:before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награжденные знаком «Жителю блокадного Ленинграда»;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31"/>
        <w:numPr>
          <w:ilvl w:val="0"/>
          <w:numId w:val="1"/>
        </w:numPr>
        <w:ind w:right="0"/>
        <w:spacing w:before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работавшие в период Великой Отечественной войны на объектах ПВО, местной ПВО,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31"/>
        <w:numPr>
          <w:ilvl w:val="0"/>
          <w:numId w:val="1"/>
        </w:numPr>
        <w:ind w:right="0"/>
        <w:spacing w:before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подвергшиеся воздействию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31"/>
        <w:numPr>
          <w:ilvl w:val="0"/>
          <w:numId w:val="1"/>
        </w:numPr>
        <w:ind w:right="0"/>
        <w:spacing w:before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31"/>
        <w:numPr>
          <w:ilvl w:val="0"/>
          <w:numId w:val="1"/>
        </w:numPr>
        <w:ind w:right="0"/>
        <w:spacing w:before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военнослужащие, награжденные орденами или медалями СССР за службу в период с 22 июня 1941 года по 3 сентября 1945 года не менее шести месяцев;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31"/>
        <w:numPr>
          <w:ilvl w:val="0"/>
          <w:numId w:val="1"/>
        </w:numPr>
        <w:ind w:right="0"/>
        <w:spacing w:before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противовоздушной обороны, а также члены семей погибши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х работников госпиталей и больниц города Ленинграда;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31"/>
        <w:numPr>
          <w:ilvl w:val="0"/>
          <w:numId w:val="1"/>
        </w:numPr>
        <w:ind w:right="0"/>
        <w:spacing w:before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инвалиды;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31"/>
        <w:numPr>
          <w:ilvl w:val="0"/>
          <w:numId w:val="1"/>
        </w:numPr>
        <w:ind w:right="0"/>
        <w:spacing w:before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дети-инвалиды;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31"/>
        <w:numPr>
          <w:ilvl w:val="0"/>
          <w:numId w:val="1"/>
        </w:numPr>
        <w:ind w:right="0"/>
        <w:spacing w:before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пенсионеры;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31"/>
        <w:numPr>
          <w:ilvl w:val="0"/>
          <w:numId w:val="1"/>
        </w:numPr>
        <w:ind w:right="0"/>
        <w:spacing w:before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один из родителей в многодетной семье;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31"/>
        <w:numPr>
          <w:ilvl w:val="0"/>
          <w:numId w:val="1"/>
        </w:numPr>
        <w:ind w:right="0"/>
        <w:spacing w:before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лица, награжденные нагрудным знаком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"П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очетный донор СССР", "Почетный донор России".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РЕЕСТР ПАРТНЕРОВ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https://primorsky.ru/authorities/executive-agencies/departments/license/trade/scheme/20.12%20%D0%BA%D0%B0%D1%80%D1%82%D0%B0%20%D0%9F%D1%80%D0%B8%D0%BC%D0%BE%D1%80%D0%B5%D1%86%20-%20%D1%80%D0%B5%D0%B5%D1%81%D1%82%D1%80%20%D1%83%D1%87%D0%B0%D1%81%D1%82%D0%BD%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D0%B8%D0%BA%D0%BE%D0%B2.xlsx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3"/>
    <w:next w:val="65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3"/>
    <w:next w:val="65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5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3"/>
    <w:next w:val="65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3"/>
    <w:next w:val="65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3"/>
    <w:next w:val="65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3"/>
    <w:next w:val="65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3"/>
    <w:next w:val="65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3"/>
    <w:next w:val="65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3"/>
    <w:next w:val="65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3"/>
    <w:next w:val="65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4"/>
    <w:link w:val="34"/>
    <w:uiPriority w:val="10"/>
    <w:rPr>
      <w:sz w:val="48"/>
      <w:szCs w:val="48"/>
    </w:rPr>
  </w:style>
  <w:style w:type="paragraph" w:styleId="36">
    <w:name w:val="Subtitle"/>
    <w:basedOn w:val="653"/>
    <w:next w:val="65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4"/>
    <w:link w:val="36"/>
    <w:uiPriority w:val="11"/>
    <w:rPr>
      <w:sz w:val="24"/>
      <w:szCs w:val="24"/>
    </w:rPr>
  </w:style>
  <w:style w:type="paragraph" w:styleId="38">
    <w:name w:val="Quote"/>
    <w:basedOn w:val="653"/>
    <w:next w:val="65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3"/>
    <w:next w:val="65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54"/>
    <w:link w:val="657"/>
    <w:uiPriority w:val="99"/>
  </w:style>
  <w:style w:type="character" w:styleId="45">
    <w:name w:val="Footer Char"/>
    <w:basedOn w:val="654"/>
    <w:link w:val="659"/>
    <w:uiPriority w:val="99"/>
  </w:style>
  <w:style w:type="paragraph" w:styleId="46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59"/>
    <w:uiPriority w:val="99"/>
  </w:style>
  <w:style w:type="table" w:styleId="48">
    <w:name w:val="Table Grid"/>
    <w:basedOn w:val="65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4"/>
    <w:uiPriority w:val="99"/>
    <w:unhideWhenUsed/>
    <w:rPr>
      <w:vertAlign w:val="superscript"/>
    </w:rPr>
  </w:style>
  <w:style w:type="paragraph" w:styleId="178">
    <w:name w:val="endnote text"/>
    <w:basedOn w:val="65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4"/>
    <w:uiPriority w:val="99"/>
    <w:semiHidden/>
    <w:unhideWhenUsed/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3"/>
    <w:next w:val="653"/>
    <w:uiPriority w:val="99"/>
    <w:unhideWhenUsed/>
    <w:pPr>
      <w:spacing w:after="0" w:afterAutospacing="0"/>
    </w:pPr>
  </w:style>
  <w:style w:type="paragraph" w:styleId="653" w:default="1">
    <w:name w:val="Normal"/>
    <w:qFormat/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paragraph" w:styleId="657">
    <w:name w:val="Header"/>
    <w:basedOn w:val="653"/>
    <w:link w:val="65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8" w:customStyle="1">
    <w:name w:val="Верхний колонтитул Знак"/>
    <w:basedOn w:val="654"/>
    <w:link w:val="657"/>
    <w:uiPriority w:val="99"/>
  </w:style>
  <w:style w:type="paragraph" w:styleId="659">
    <w:name w:val="Footer"/>
    <w:basedOn w:val="653"/>
    <w:link w:val="66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0" w:customStyle="1">
    <w:name w:val="Нижний колонтитул Знак"/>
    <w:basedOn w:val="654"/>
    <w:link w:val="659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Викторовна Володина</dc:creator>
  <cp:keywords/>
  <dc:description/>
  <cp:revision>3</cp:revision>
  <dcterms:created xsi:type="dcterms:W3CDTF">2022-10-21T01:17:00Z</dcterms:created>
  <dcterms:modified xsi:type="dcterms:W3CDTF">2024-01-19T01:33:58Z</dcterms:modified>
</cp:coreProperties>
</file>