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Отчет об исполнении муниципальной программы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«Обеспечение жильем молодых семей Уссурийского городского округа» на 2021-2027 годы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(далее – Программа),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12 месяцев 2023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5.0" w:type="dxa"/>
        <w:jc w:val="left"/>
        <w:tblInd w:w="-433.0" w:type="dxa"/>
        <w:tblLayout w:type="fixed"/>
        <w:tblLook w:val="0000"/>
      </w:tblPr>
      <w:tblGrid>
        <w:gridCol w:w="710"/>
        <w:gridCol w:w="2551"/>
        <w:gridCol w:w="2268"/>
        <w:gridCol w:w="2268"/>
        <w:gridCol w:w="1560"/>
        <w:gridCol w:w="2126"/>
        <w:gridCol w:w="3402"/>
        <w:tblGridChange w:id="0">
          <w:tblGrid>
            <w:gridCol w:w="710"/>
            <w:gridCol w:w="2551"/>
            <w:gridCol w:w="2268"/>
            <w:gridCol w:w="2268"/>
            <w:gridCol w:w="1560"/>
            <w:gridCol w:w="2126"/>
            <w:gridCol w:w="3402"/>
          </w:tblGrid>
        </w:tblGridChange>
      </w:tblGrid>
      <w:tr>
        <w:trPr>
          <w:cantSplit w:val="0"/>
          <w:trHeight w:val="97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Наименование мероприятия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Объем денежных средств, предусмотрен-ных на реализацию программы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в 2023 году,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Информация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об исполнении мероприятия.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% исполне-ния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Сроки проведения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Краткие итоги</w:t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Мероприятия по исполнению задачи: 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Предоставить молодым семьям, участвующим в программе, социальные выплаты на приобретение (строительство) жилья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Организация и проведение информационной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 03 октября по 01 декабря 2023 года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rtl w:val="0"/>
              </w:rPr>
              <w:t xml:space="preserve">Изготовление брошюр и буклетов по освещению целей, задач Программы и условий участия в ней молодых семей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5,00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100%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с 03 октября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 01 декабря 2023г.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1.1.1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Контрольное событие: Разработка и утверждение макета брошюр и буклетов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с 03.10.202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 10.10.202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На основании данных предоставленных исполнителю, был подготовлен и разработан макет буклета, который затем был согласован с начальником управления по делам молодежи, физической культуре и спорту</w:t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1.1.2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Контрольное событие: Подготовка и согласование проекта Договора на выполнение работ, оказания услуг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с 11.10.202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по 31.10.202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left="-38" w:firstLine="0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Был подготовлен проект договора, который был согласован с управлением бухгалтерского учета и отчетности и с нормативно-правовым управлением </w:t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1.1.3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Контрольное событие: Подписание Договора на выполнение работ, оказания услуг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с 01.11.202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по 03.11.202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Подписание договора обея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1.1.4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Контрольное событие: Печать брошюр и буклетов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с 07.11.202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 по 17.11.202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Напечатанный буклеты были переданы исполнителем, и предоставляются для ознакомления семьям, изъявившем принять участие в программе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7.055214723927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1.1.5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Контрольное событие: Предоставление отчетных документов по выполненным работам в управление бухгалтерского учета и отчетности, оплата Договора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в течении 10 рабочих дней по исполнению Договора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Договор, акт приемки и счет на оплату были переданы в управление бухгалтерского учета и отчетности. Оплата произведена исполнителю.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Оказание поддержки молодым семьям в приобретении жилого помещения или строительстве индивидуального жилого дома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21 038,88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20 553,41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97,70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-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Перечисление социальных выплат молодым семьям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местный бюджет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5 000,00;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краевой, федеральный бюджеты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16 038,88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местный бюджет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4 884,62;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краевой, федеральные бюджеты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                 15 668,79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97,70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в течение 14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1. На основании заявок от банка, отобранного для обслуживания средств, предоставляемых в качестве социальных выплат, выделяемых молодым семьям - участникам Программы осуществлена проверка на соответствие данным по выданным свидетельствам восьми  молодым семьям.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2.Перечислено бюджетных средств социальной выплаты в безналичной форме путем зачисления соответствующих средств на банковские счета четырем  молодым семьям.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2.1.1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Контрольное событие: Подготовка платежных поручений и перечисление социальных выплат молодым семьям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местный бюджет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5 000,00;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краевой, федеральный бюджеты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16 038,88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местный бюджет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4 884,62;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краевой, федеральные бюджеты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                   15 668,79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97,70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1. На основании заявок от банка, отобранного для обслуживания средств, предоставляемых в качестве социальных выплат, выделяемых молодым семьям - участникам Программы осуществлена проверка на соответствие данным по выданным свидетельствам четырем  молодым семьям.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2.Перечислено бюджетных средств социальной выплаты в безналичной форме путем зачисления соответствующих средств на банковские счета четырем молодым семьям.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right="-108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21 038,88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20 553,41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97,70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7D">
      <w:pPr>
        <w:ind w:left="-426"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even"/>
      <w:pgSz w:h="11905" w:w="16837" w:orient="landscape"/>
      <w:pgMar w:bottom="851" w:top="1134" w:left="1134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Nimbus Roman No9 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360" w:firstLine="0"/>
      <w:jc w:val="left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Nimbus Roman No9 L" w:cs="Nimbus Roman No9 L" w:eastAsia="Nimbus Roman No9 L" w:hAnsi="Nimbus Roman No9 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widowControl w:val="1"/>
      <w:jc w:val="both"/>
    </w:pPr>
    <w:rPr>
      <w:rFonts w:ascii="Times New Roman" w:cs="Times New Roman" w:eastAsia="Times New Roman" w:hAnsi="Times New Roman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CRzSevAvw5oukTFg3T5qRHVWIQ==">CgMxLjAyCGguZ2pkZ3hzOAByITFyTWlyVjV2OUpyaVctSmJkbEhDNnlwXzlkbEIxdUlTYw==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