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</w:t>
      </w:r>
      <w:r/>
    </w:p>
    <w:p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>
        <w:rPr>
          <w:color w:val="000000"/>
          <w:spacing w:val="1"/>
          <w:sz w:val="24"/>
          <w:szCs w:val="24"/>
        </w:rPr>
        <w:t xml:space="preserve">24.04.2018 № 26/мо-2018</w:t>
      </w:r>
      <w:r/>
    </w:p>
    <w:p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Услуг, предоставляемых на базе МФЦ, ТОСП и привлекаемых организаций, и способы передачи документов, используемые при взаимодействии МФЦ с Администрацией</w:t>
      </w:r>
      <w:r/>
    </w:p>
    <w:p>
      <w:pPr>
        <w:ind w:right="-2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560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2549"/>
        <w:gridCol w:w="2410"/>
        <w:gridCol w:w="13"/>
        <w:gridCol w:w="2682"/>
        <w:gridCol w:w="2125"/>
        <w:gridCol w:w="17"/>
      </w:tblGrid>
      <w:tr>
        <w:trPr>
          <w:trHeight w:val="867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передачи пакетов документов из МФЦ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в Администрацию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2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передачи пакетов документов из Администрации в МФЦ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признака экстерриториальности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2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оказания услуги</w:t>
            </w:r>
            <w:r/>
          </w:p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(платно/</w:t>
            </w:r>
            <w:r/>
          </w:p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бесплатно)</w:t>
            </w:r>
            <w:r/>
          </w:p>
        </w:tc>
      </w:tr>
      <w:tr>
        <w:trPr>
          <w:gridAfter w:val="1"/>
          <w:trHeight w:val="549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2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1: муниципальные услуги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с досылкой 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r>
              <w:rPr>
                <w:sz w:val="24"/>
                <w:szCs w:val="24"/>
              </w:rPr>
              <w:t xml:space="preserve">похозяйственной</w:t>
            </w:r>
            <w:r>
              <w:rPr>
                <w:sz w:val="24"/>
                <w:szCs w:val="24"/>
              </w:rPr>
              <w:t xml:space="preserve"> книги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87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справок об участии (не участии) в приватизации жилых помещений</w:t>
            </w:r>
            <w:r>
              <w:rPr>
                <w:rStyle w:val="996"/>
                <w:sz w:val="24"/>
                <w:szCs w:val="24"/>
              </w:rPr>
              <w:endnoteReference w:customMarkFollows="1" w:id="2"/>
            </w:r>
            <w:r>
              <w:rPr>
                <w:rStyle w:val="996"/>
                <w:rFonts w:ascii="Symbol" w:hAnsi="Symbol" w:eastAsia="Symbol" w:cs="Symbol"/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9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</w:t>
            </w:r>
            <w:r/>
          </w:p>
        </w:tc>
        <w:tc>
          <w:tcPr>
            <w:gridSpan w:val="6"/>
            <w:shd w:val="clear" w:color="auto" w:fill="auto"/>
            <w:tcW w:w="1474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</w:t>
            </w:r>
            <w:r/>
          </w:p>
        </w:tc>
      </w:tr>
      <w:tr>
        <w:trPr>
          <w:gridAfter w:val="1"/>
          <w:trHeight w:val="29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или расторжение договоров социального найма муниципального </w:t>
            </w:r>
            <w:r>
              <w:rPr>
                <w:sz w:val="24"/>
                <w:szCs w:val="24"/>
              </w:rPr>
              <w:t xml:space="preserve">жилищного фонда*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</w:t>
            </w:r>
            <w:r>
              <w:rPr>
                <w:sz w:val="24"/>
                <w:szCs w:val="24"/>
              </w:rPr>
              <w:t xml:space="preserve">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на основе документов Архивного фонда Российской Федерации и других архивных документов*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</w:t>
            </w:r>
            <w:r>
              <w:rPr>
                <w:sz w:val="24"/>
                <w:szCs w:val="24"/>
              </w:rPr>
              <w:t xml:space="preserve">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деятельности*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 (с досылкой оригиналов </w:t>
            </w:r>
            <w:r>
              <w:rPr>
                <w:sz w:val="24"/>
                <w:szCs w:val="24"/>
              </w:rPr>
              <w:t xml:space="preserve">документов на бумажных носителях)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</w:t>
            </w:r>
            <w:r>
              <w:rPr>
                <w:sz w:val="24"/>
                <w:szCs w:val="24"/>
              </w:rPr>
              <w:t xml:space="preserve">риально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82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градостроительного плана земельного участка*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437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ввод объекта в эксплуатацию*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 с досылкой 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rPr>
                <w:rStyle w:val="97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Уссурийского </w:t>
            </w:r>
            <w:r>
              <w:rPr>
                <w:sz w:val="24"/>
                <w:szCs w:val="24"/>
              </w:rPr>
              <w:t xml:space="preserve">городского округа*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31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установку и </w:t>
            </w:r>
            <w:r>
              <w:rPr>
                <w:sz w:val="24"/>
                <w:szCs w:val="24"/>
              </w:rPr>
              <w:t xml:space="preserve">эксплуатацию рекламных конструкций</w:t>
            </w:r>
            <w:r>
              <w:rPr>
                <w:sz w:val="24"/>
                <w:szCs w:val="24"/>
              </w:rPr>
              <w:t xml:space="preserve"> и аннулирование таких разрешений*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 (с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взимается государственная пошлина в размере:</w:t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5 000 руб.</w:t>
            </w:r>
            <w:r>
              <w:rPr>
                <w:sz w:val="24"/>
                <w:szCs w:val="24"/>
              </w:rPr>
              <w:t xml:space="preserve"> – за выдачу разрешения на установку и эксплуатацию рекламной </w:t>
            </w:r>
            <w:r>
              <w:rPr>
                <w:sz w:val="24"/>
                <w:szCs w:val="24"/>
              </w:rPr>
              <w:t xml:space="preserve">конструкции</w:t>
            </w:r>
            <w:r/>
          </w:p>
        </w:tc>
      </w:tr>
      <w:tr>
        <w:trPr>
          <w:gridAfter w:val="1"/>
          <w:trHeight w:val="531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жилого помещения в нежилое помещение или нежилого помещения в жилое помещение*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 (с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объектах учета, содержащейся в реестре муниципального имущества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 (с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370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на учет граждан в качестве нуждающихся в жилых помещениях*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 (с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416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проведения переустройства и (или) перепланировки </w:t>
            </w:r>
            <w:r>
              <w:rPr>
                <w:sz w:val="24"/>
                <w:szCs w:val="24"/>
              </w:rPr>
              <w:t xml:space="preserve">помещения в многоквартирном доме 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13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 (с досылкой оригиналов документов на бумажных носителях</w:t>
            </w:r>
            <w:r>
              <w:rPr>
                <w:sz w:val="24"/>
                <w:szCs w:val="24"/>
                <w:vertAlign w:val="superscript"/>
              </w:rPr>
              <w:t xml:space="preserve">2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95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</w:t>
            </w:r>
            <w:r>
              <w:rPr>
                <w:sz w:val="24"/>
                <w:szCs w:val="24"/>
              </w:rPr>
              <w:t xml:space="preserve">зачислении в муниципальную образовательную организацию*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</w:t>
            </w:r>
            <w:r>
              <w:rPr>
                <w:sz w:val="24"/>
                <w:szCs w:val="24"/>
              </w:rPr>
              <w:t xml:space="preserve">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</w:t>
            </w:r>
            <w:r>
              <w:rPr>
                <w:sz w:val="24"/>
                <w:szCs w:val="24"/>
              </w:rPr>
              <w:t xml:space="preserve">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малоимущим гражданам, проживающим в муниципальном образовании и нуждающимся в улучшении жилищных условий, жилых помещений*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81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952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обмен жилыми помещениями муниципального жилищного фонда*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683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1.31.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право организации розничного рынка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92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(ордера) на проведение </w:t>
            </w:r>
            <w:r>
              <w:rPr>
                <w:sz w:val="24"/>
                <w:szCs w:val="24"/>
              </w:rPr>
              <w:t xml:space="preserve">земляных работ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</w:t>
            </w:r>
            <w:r>
              <w:rPr>
                <w:sz w:val="24"/>
                <w:szCs w:val="24"/>
              </w:rPr>
              <w:t xml:space="preserve">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</w:t>
            </w:r>
            <w:r>
              <w:rPr>
                <w:sz w:val="24"/>
                <w:szCs w:val="24"/>
              </w:rPr>
              <w:t xml:space="preserve">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1.33.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по требованию населения общественных экологических экспертиз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1.34.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Приватизация жилых помещений муниципального жилищного фонда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1.35.</w:t>
            </w:r>
            <w:r/>
          </w:p>
        </w:tc>
        <w:tc>
          <w:tcPr>
            <w:gridSpan w:val="6"/>
            <w:shd w:val="clear" w:color="auto" w:fill="auto"/>
            <w:tcW w:w="1474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Исключен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1.36.</w:t>
            </w:r>
            <w:r/>
          </w:p>
        </w:tc>
        <w:tc>
          <w:tcPr>
            <w:gridSpan w:val="6"/>
            <w:shd w:val="clear" w:color="auto" w:fill="auto"/>
            <w:tcW w:w="1474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Исключен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1.37.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1.38.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</w:t>
            </w:r>
            <w:r>
              <w:rPr>
                <w:sz w:val="24"/>
                <w:szCs w:val="24"/>
              </w:rPr>
              <w:t xml:space="preserve">нформации об объектах культурного наследия местного (муниципального) значения, находящихся в муниципальной собственности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1.39</w:t>
            </w:r>
            <w:r/>
          </w:p>
        </w:tc>
        <w:tc>
          <w:tcPr>
            <w:gridSpan w:val="6"/>
            <w:shd w:val="clear" w:color="auto" w:fill="auto"/>
            <w:tcW w:w="1474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Исключен</w:t>
            </w:r>
            <w:r/>
          </w:p>
        </w:tc>
      </w:tr>
      <w:tr>
        <w:trPr>
          <w:gridAfter w:val="1"/>
          <w:trHeight w:val="292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1.40.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Прием заявлений на получение разовой материальной помощи гражданам, оказавшимся в зоне чрезвычайной ситуации на территории Приморского края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 представления услуги в МФЦ не передается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292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1.41.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договор и оформление дополнительных соглашений в сфере </w:t>
            </w:r>
            <w:r>
              <w:rPr>
                <w:sz w:val="24"/>
                <w:szCs w:val="24"/>
              </w:rPr>
              <w:t xml:space="preserve">земельных отношений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1.42.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дубликатов документов в сфере земельных отношений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1.43.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копий архивных документов, подтверждающих право на владение землей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1.44.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разрешения на вселение членов семьи нанимателя в муниципальные помещения специализированного жилищного фонда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1.45.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взимается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гос.пошлина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размере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1600 руб.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и(или)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крупногабарит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ных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грузов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1.46.</w:t>
            </w:r>
            <w:r/>
          </w:p>
        </w:tc>
        <w:tc>
          <w:tcPr>
            <w:gridSpan w:val="6"/>
            <w:shd w:val="clear" w:color="auto" w:fill="auto"/>
            <w:tcW w:w="14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Исключен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1.47.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Информационное обеспечение пользователей автомобильными дорогами общего пользования местного значения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1.48.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 государственной или муниципальной собственности, на торгах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 досылкой оригиналов документов на бумажных носителях)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1.49.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1.50.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сведений, документов и материалов,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за предоставление муници</w:t>
            </w:r>
            <w:r>
              <w:rPr>
                <w:sz w:val="24"/>
                <w:szCs w:val="24"/>
              </w:rPr>
              <w:t xml:space="preserve">пал</w:t>
            </w:r>
            <w:r>
              <w:rPr>
                <w:sz w:val="24"/>
                <w:szCs w:val="24"/>
              </w:rPr>
              <w:t xml:space="preserve">ьной услуги установлен Постановлением Прави</w:t>
            </w:r>
            <w:r>
              <w:rPr>
                <w:sz w:val="24"/>
                <w:szCs w:val="24"/>
              </w:rPr>
              <w:t xml:space="preserve">тельства Российской Федерации от 13 мар</w:t>
            </w:r>
            <w:r>
              <w:rPr>
                <w:sz w:val="24"/>
                <w:szCs w:val="24"/>
              </w:rPr>
              <w:t xml:space="preserve">та 2020 </w:t>
            </w:r>
            <w:r>
              <w:rPr>
                <w:sz w:val="24"/>
                <w:szCs w:val="24"/>
              </w:rPr>
              <w:t xml:space="preserve">года  №</w:t>
            </w:r>
            <w:r>
              <w:rPr>
                <w:sz w:val="24"/>
                <w:szCs w:val="24"/>
              </w:rPr>
              <w:t xml:space="preserve"> 279 «Об информационном обеспече</w:t>
            </w:r>
            <w:r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 xml:space="preserve">градострои</w:t>
            </w:r>
            <w:r>
              <w:rPr>
                <w:sz w:val="24"/>
                <w:szCs w:val="24"/>
              </w:rPr>
              <w:t xml:space="preserve">-тельной деятель-</w:t>
            </w:r>
            <w:r>
              <w:rPr>
                <w:sz w:val="24"/>
                <w:szCs w:val="24"/>
              </w:rPr>
              <w:t xml:space="preserve">ности</w:t>
            </w:r>
            <w:r>
              <w:rPr>
                <w:sz w:val="24"/>
                <w:szCs w:val="24"/>
              </w:rPr>
              <w:t xml:space="preserve">».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1.51.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земельных участков гражданам, имеющим двух детей и молодым семьям, для индивидуального жилищного строительства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655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1.52.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земельных участков гражданам, имеющим трех и более детей, для индивидуального жилищного строительства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1.53.</w:t>
            </w:r>
            <w:r/>
          </w:p>
        </w:tc>
        <w:tc>
          <w:tcPr>
            <w:gridSpan w:val="6"/>
            <w:shd w:val="clear" w:color="auto" w:fill="auto"/>
            <w:tcW w:w="14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Исключен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1.54.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 предоставлении ритуальных услуг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1.55.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1.56.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textDirection w:val="lrTb"/>
            <w:noWrap w:val="false"/>
          </w:tcPr>
          <w:p>
            <w:pPr>
              <w:jc w:val="center"/>
            </w:pPr>
            <w:r>
              <w:t xml:space="preserve">отсутствует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1.57.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Признание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молодой семьи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1.58.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муниципальной экспертизы проектов освоения леса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1.59.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гражданам информации об установленных ценах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тарифах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и тарифами, об объеме, о перечне и качестве оказываемых услуг и выполняемых работ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1.60.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жалоб потребителей, консультирование их по вопросам защиты прав потребителей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1.61.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Реализация права граждан на пе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редачу в муниципальную собственность Уссурийского городского округа приватизационных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1.62.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Уведомительная регистрация трудовых договоров, заключаемых работодателями- физическими лицами, не являющимися индивидуальными предпринимателями с работниками, регистрация фактов их прекращения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1.63.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1.64.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об очередности предоставления по договору найма жилых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помещений жилищного фонда социального использования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1.65.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Заключение договора о присоединении объекта дорожного сервиса к автомобильной дороге общего пользования местного значения</w:t>
            </w:r>
            <w:r/>
          </w:p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электронном виде посредством СМЭВ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платно</w:t>
            </w:r>
            <w:r/>
          </w:p>
          <w:p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(при предоставлении муниципальной услуги взимается плата за присоединение объектов дорожного сервиса к автомобильны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 дорогам общего пользования местного значения Уссурийского ГО согласно тарифам, сформированным по методике, утв. постановлением администрации Уссурийского ГО от 10.08.2011 №1887-НПА «Об утверждении Методики формирования тарифов на услуги по присоединению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объектов дорожного сервиса к автомобильным дорогам общего пользования местного значения Уссурийского ГО», на этапе рассмотрения обращения в органе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1.66.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имущества, находящегося в муниципальной собственности, за исключением земельных участков, в аренду (безвозмездное пользование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отсутствует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1.67.</w:t>
            </w:r>
            <w:r/>
          </w:p>
        </w:tc>
        <w:tc>
          <w:tcPr>
            <w:gridSpan w:val="6"/>
            <w:shd w:val="clear" w:color="auto" w:fill="auto"/>
            <w:tcW w:w="147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1.68.</w:t>
            </w:r>
            <w:r/>
          </w:p>
        </w:tc>
        <w:tc>
          <w:tcPr>
            <w:shd w:val="clear" w:color="auto" w:fill="auto"/>
            <w:tcW w:w="4962" w:type="dxa"/>
            <w:vAlign w:val="center"/>
            <w:textDirection w:val="lrTb"/>
            <w:noWrap w:val="false"/>
          </w:tcPr>
          <w:p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государственной или</w:t>
            </w:r>
            <w:r>
              <w:rPr>
                <w:sz w:val="24"/>
                <w:szCs w:val="24"/>
              </w:rPr>
              <w:t xml:space="preserve"> муниципальной собственности без предоставления земельных участков и установления сервитутов*</w:t>
            </w:r>
            <w:r>
              <w:rPr>
                <w:sz w:val="24"/>
                <w:szCs w:val="24"/>
                <w:vertAlign w:val="superscript"/>
              </w:rPr>
              <w:t xml:space="preserve">3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1.69.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уведомления о соответствии построенных или </w:t>
            </w:r>
            <w:r>
              <w:rPr>
                <w:sz w:val="22"/>
                <w:szCs w:val="22"/>
              </w:rPr>
              <w:t xml:space="preserve">реконструиро</w:t>
            </w:r>
            <w:r>
              <w:rPr>
                <w:sz w:val="22"/>
                <w:szCs w:val="22"/>
              </w:rPr>
              <w:t xml:space="preserve">-ванных</w:t>
            </w:r>
            <w:r>
              <w:rPr>
                <w:sz w:val="22"/>
                <w:szCs w:val="22"/>
              </w:rPr>
              <w:t xml:space="preserve">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экстерриториально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1.70.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уведомления о соответствии указанных </w:t>
            </w:r>
            <w:r>
              <w:rPr>
                <w:sz w:val="22"/>
                <w:szCs w:val="22"/>
              </w:rP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электронном виде посредством программного комплекса «SMART-ROUTE»</w:t>
            </w:r>
            <w:r/>
          </w:p>
        </w:tc>
        <w:tc>
          <w:tcPr>
            <w:gridSpan w:val="2"/>
            <w:tcW w:w="269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экстеррито</w:t>
            </w:r>
            <w:r>
              <w:rPr>
                <w:sz w:val="22"/>
                <w:szCs w:val="22"/>
              </w:rPr>
              <w:t xml:space="preserve">риально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</w:t>
            </w:r>
            <w:r/>
          </w:p>
        </w:tc>
      </w:tr>
      <w:tr>
        <w:trPr>
          <w:gridAfter w:val="1"/>
          <w:trHeight w:val="246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1.71.</w:t>
            </w:r>
            <w:r/>
          </w:p>
        </w:tc>
        <w:tc>
          <w:tcPr>
            <w:gridSpan w:val="6"/>
            <w:shd w:val="clear" w:color="auto" w:fill="auto"/>
            <w:tcW w:w="14741" w:type="dxa"/>
            <w:textDirection w:val="lrTb"/>
            <w:noWrap w:val="false"/>
          </w:tcPr>
          <w:p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</w:t>
            </w:r>
            <w:bookmarkStart w:id="0" w:name="_GoBack"/>
            <w:r/>
            <w:bookmarkEnd w:id="0"/>
            <w:r/>
            <w:r/>
          </w:p>
          <w:p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gridAfter w:val="1"/>
          <w:trHeight w:val="549"/>
        </w:trPr>
        <w:tc>
          <w:tcPr>
            <w:gridSpan w:val="7"/>
            <w:shd w:val="clear" w:color="auto" w:fill="auto"/>
            <w:tcW w:w="15592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2: государственные услуги, предоставляемые в рамках реализации Администрацией переданных государственных полномочий</w:t>
            </w:r>
            <w:r/>
          </w:p>
        </w:tc>
      </w:tr>
      <w:tr>
        <w:trPr>
          <w:gridAfter w:val="1"/>
          <w:trHeight w:val="549"/>
        </w:trPr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</w:t>
            </w:r>
            <w:r>
              <w:rPr>
                <w:bCs/>
                <w:sz w:val="24"/>
                <w:szCs w:val="24"/>
              </w:rPr>
              <w:t xml:space="preserve">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  <w:r/>
          </w:p>
          <w:p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приема заявления о рождении и выдачи заявителю свидетельства о рождении**;</w:t>
            </w:r>
            <w:r/>
          </w:p>
          <w:p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 xml:space="preserve">- приема запроса о выдаче и выдачи повторного свидетельства о государственной регистрации акта гражданского состояния </w:t>
            </w:r>
            <w:r>
              <w:rPr>
                <w:bCs/>
                <w:sz w:val="24"/>
                <w:szCs w:val="24"/>
              </w:rPr>
              <w:t xml:space="preserve">или иного документа, подтверждающего наличие либо отсутствие факта государственной регистрации акта гражданского состояния**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бумажных носителях</w:t>
            </w:r>
            <w:r/>
          </w:p>
        </w:tc>
        <w:tc>
          <w:tcPr>
            <w:gridSpan w:val="2"/>
            <w:tcW w:w="2695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экстерриториально</w:t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бесплатно</w:t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взимается государственная пошлина в </w:t>
            </w:r>
            <w:r>
              <w:rPr>
                <w:bCs/>
                <w:sz w:val="24"/>
                <w:szCs w:val="24"/>
              </w:rPr>
              <w:t xml:space="preserve">размере:</w:t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</w:t>
            </w:r>
            <w:r>
              <w:rPr>
                <w:b/>
                <w:bCs/>
                <w:sz w:val="24"/>
                <w:szCs w:val="24"/>
              </w:rPr>
              <w:t xml:space="preserve"> 200 руб. </w:t>
            </w:r>
            <w:r>
              <w:rPr>
                <w:bCs/>
                <w:sz w:val="24"/>
                <w:szCs w:val="24"/>
              </w:rPr>
              <w:t xml:space="preserve">– за выдачу справок из архивов ЗАГС.</w:t>
            </w:r>
            <w:r/>
          </w:p>
          <w:p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</w:t>
            </w:r>
            <w:r>
              <w:rPr>
                <w:b/>
                <w:bCs/>
                <w:sz w:val="24"/>
                <w:szCs w:val="24"/>
              </w:rPr>
              <w:t xml:space="preserve"> 350 руб.</w:t>
            </w:r>
            <w:r>
              <w:rPr>
                <w:bCs/>
                <w:sz w:val="24"/>
                <w:szCs w:val="24"/>
              </w:rPr>
              <w:t xml:space="preserve"> – за выдачу повторного свидетельства о государственной регистрации акта гражданского состояния</w:t>
            </w:r>
            <w:r/>
          </w:p>
        </w:tc>
      </w:tr>
    </w:tbl>
    <w:p>
      <w:pPr>
        <w:ind w:right="-2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notePr>
        <w:numFmt w:val="chicago"/>
        <w:numStart w:val="3"/>
        <w:pos w:val="beneathText"/>
      </w:footnotePr>
      <w:endnotePr>
        <w:numFmt w:val="decimal"/>
      </w:endnotePr>
      <w:type w:val="continuous"/>
      <w:pgSz w:w="16838" w:h="11906" w:orient="landscape"/>
      <w:pgMar w:top="567" w:right="1134" w:bottom="709" w:left="709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id="2"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Предоставление услуги на базе отделений МФЦ осуществляется в порядке, предусмотренном типовым административным регламентом.</w:t>
      </w:r>
      <w:r/>
    </w:p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</w:t>
      </w:r>
      <w:r>
        <w:rPr>
          <w:sz w:val="22"/>
          <w:szCs w:val="22"/>
        </w:rPr>
        <w:t xml:space="preserve">Передача документов в рамках предоставления Услуги в указанной части осуществляется в соответствии с Паспортом услуги, утвержденным департаментом записи актов гражданского состояния Приморского края.</w:t>
      </w:r>
      <w:r/>
    </w:p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94"/>
        <w:jc w:val="both"/>
        <w:rPr>
          <w:sz w:val="22"/>
          <w:szCs w:val="22"/>
        </w:rPr>
      </w:pPr>
      <w:r>
        <w:rPr>
          <w:rStyle w:val="996"/>
          <w:rFonts w:ascii="Symbol" w:hAnsi="Symbol" w:eastAsia="Symbol" w:cs="Symbol"/>
          <w:sz w:val="22"/>
          <w:szCs w:val="22"/>
        </w:rPr>
        <w:t xml:space="preserve">1</w:t>
      </w:r>
      <w:r>
        <w:rPr>
          <w:sz w:val="22"/>
          <w:szCs w:val="22"/>
        </w:rPr>
        <w:t xml:space="preserve"> Указанный способ информационного взаимодействия будет реализован в течение 5 рабочих дней со дня поступления в адрес УМФЦ от Администрации уведомления о готовности к предоставлению Услуги в электронном виде.</w:t>
      </w:r>
      <w:r/>
    </w:p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Схема</w:t>
      </w:r>
      <w:r>
        <w:rPr>
          <w:sz w:val="22"/>
          <w:szCs w:val="22"/>
        </w:rPr>
        <w:t xml:space="preserve"> расположения земельного участка или земельных участков на кадастровом плане территорий.</w:t>
      </w:r>
      <w:r/>
    </w:p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Предоставление Услуги </w:t>
      </w:r>
      <w:r>
        <w:rPr>
          <w:sz w:val="22"/>
          <w:szCs w:val="22"/>
        </w:rPr>
        <w:t xml:space="preserve">через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МФЦ будет организовано после завершения мероприятий по ее настройке в АИС МФЦ и </w:t>
      </w:r>
      <w:r>
        <w:rPr>
          <w:sz w:val="22"/>
          <w:szCs w:val="22"/>
        </w:rPr>
        <w:t xml:space="preserve">поступления в адрес Администрации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УМФЦ </w:t>
      </w:r>
      <w:r>
        <w:rPr>
          <w:sz w:val="22"/>
          <w:szCs w:val="22"/>
        </w:rPr>
        <w:t xml:space="preserve">соответствующего уведомления с указанием даты начала приема документов в МФЦ.</w:t>
      </w:r>
      <w:r/>
    </w:p>
    <w:p>
      <w:pPr>
        <w:pStyle w:val="99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6040504020204"/>
  </w:font>
  <w:font w:name="SimSun">
    <w:panose1 w:val="02000506000000020000"/>
  </w:font>
  <w:font w:name="Courier New">
    <w:panose1 w:val="02070309020205020404"/>
  </w:font>
  <w:font w:name="Mangal">
    <w:panose1 w:val="02040503050406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15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448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82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3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1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2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14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264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448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82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3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1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2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14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264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320" w:hanging="2160"/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."/>
      <w:lvlJc w:val="left"/>
      <w:pPr/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/>
        <w:b w:val="0"/>
        <w:bCs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decimal"/>
      <w:isLgl w:val="false"/>
      <w:suff w:val="tab"/>
      <w:lvlText w:val="%1.%2.%3.%4.%5."/>
      <w:lvlJc w:val="left"/>
      <w:pPr/>
    </w:lvl>
    <w:lvl w:ilvl="5">
      <w:start w:val="1"/>
      <w:numFmt w:val="decimal"/>
      <w:isLgl w:val="false"/>
      <w:suff w:val="tab"/>
      <w:lvlText w:val="%1.%2.%3.%4.%5.%6."/>
      <w:lvlJc w:val="lef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decimal"/>
      <w:isLgl w:val="false"/>
      <w:suff w:val="tab"/>
      <w:lvlText w:val="%1.%2.%3.%4.%5.%6.%7.%8."/>
      <w:lvlJc w:val="left"/>
      <w:pPr/>
    </w:lvl>
    <w:lvl w:ilvl="8">
      <w:start w:val="1"/>
      <w:numFmt w:val="decimal"/>
      <w:isLgl w:val="false"/>
      <w:suff w:val="tab"/>
      <w:lvlText w:val="%1.%2.%3.%4.%5.%6.%7.%8.%9.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11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399" w:hanging="399"/>
      </w:pPr>
      <w:rPr>
        <w:rFonts w:ascii="Times New Roman" w:hAnsi="Times New Roman" w:cs="Times New Roman"/>
      </w:rPr>
    </w:lvl>
    <w:lvl w:ilvl="1">
      <w:start w:val="1"/>
      <w:numFmt w:val="none"/>
      <w:isLgl w:val="false"/>
      <w:suff w:val="tab"/>
      <w:lvlText w:val="%2"/>
      <w:lvlJc w:val="left"/>
      <w:pPr/>
    </w:lvl>
    <w:lvl w:ilvl="2">
      <w:start w:val="1"/>
      <w:numFmt w:val="none"/>
      <w:isLgl w:val="false"/>
      <w:suff w:val="tab"/>
      <w:lvlText w:val="%3"/>
      <w:lvlJc w:val="left"/>
      <w:pPr/>
    </w:lvl>
    <w:lvl w:ilvl="3">
      <w:start w:val="1"/>
      <w:numFmt w:val="none"/>
      <w:isLgl w:val="false"/>
      <w:suff w:val="tab"/>
      <w:lvlText w:val="%4"/>
      <w:lvlJc w:val="left"/>
      <w:pPr/>
    </w:lvl>
    <w:lvl w:ilvl="4">
      <w:start w:val="1"/>
      <w:numFmt w:val="none"/>
      <w:isLgl w:val="false"/>
      <w:suff w:val="tab"/>
      <w:lvlText w:val="%5"/>
      <w:lvlJc w:val="left"/>
      <w:pPr/>
    </w:lvl>
    <w:lvl w:ilvl="5">
      <w:start w:val="1"/>
      <w:numFmt w:val="none"/>
      <w:isLgl w:val="false"/>
      <w:suff w:val="tab"/>
      <w:lvlText w:val="%6"/>
      <w:lvlJc w:val="left"/>
      <w:pPr/>
    </w:lvl>
    <w:lvl w:ilvl="6">
      <w:start w:val="1"/>
      <w:numFmt w:val="none"/>
      <w:isLgl w:val="false"/>
      <w:suff w:val="tab"/>
      <w:lvlText w:val="%7"/>
      <w:lvlJc w:val="left"/>
      <w:pPr/>
    </w:lvl>
    <w:lvl w:ilvl="7">
      <w:start w:val="1"/>
      <w:numFmt w:val="none"/>
      <w:isLgl w:val="false"/>
      <w:suff w:val="tab"/>
      <w:lvlText w:val="%8"/>
      <w:lvlJc w:val="left"/>
      <w:pPr/>
    </w:lvl>
    <w:lvl w:ilvl="8">
      <w:start w:val="1"/>
      <w:numFmt w:val="none"/>
      <w:isLgl w:val="false"/>
      <w:suff w:val="tab"/>
      <w:lvlText w:val="%9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126" w:hanging="1068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333" w:hanging="1068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2"/>
      <w:numFmt w:val="decimal"/>
      <w:isLgl w:val="false"/>
      <w:suff w:val="tab"/>
      <w:lvlText w:val="%1.%2."/>
      <w:lvlJc w:val="left"/>
      <w:pPr>
        <w:ind w:left="199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3" w:hanging="720"/>
      </w:pPr>
      <w:rPr>
        <w:b w:val="0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8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00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Times New Roman" w:cs="Times New Roman"/>
      </w:rPr>
    </w:lvl>
    <w:lvl w:ilvl="1">
      <w:start w:val="8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Times New Roman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Times New Roman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Times New Roman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Times New Roman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Times New Roman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Times New Roman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Times New Roman" w:cs="Times New Roman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6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869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6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08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876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4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3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3763" w:hanging="360"/>
      </w:pPr>
    </w:lvl>
    <w:lvl w:ilvl="1">
      <w:start w:val="1"/>
      <w:numFmt w:val="decimal"/>
      <w:isLgl/>
      <w:suff w:val="tab"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3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15"/>
  </w:num>
  <w:num w:numId="3">
    <w:abstractNumId w:val="8"/>
  </w:num>
  <w:num w:numId="4">
    <w:abstractNumId w:val="20"/>
  </w:num>
  <w:num w:numId="5">
    <w:abstractNumId w:val="29"/>
  </w:num>
  <w:num w:numId="6">
    <w:abstractNumId w:val="0"/>
  </w:num>
  <w:num w:numId="7">
    <w:abstractNumId w:val="36"/>
  </w:num>
  <w:num w:numId="8">
    <w:abstractNumId w:val="18"/>
  </w:num>
  <w:num w:numId="9">
    <w:abstractNumId w:val="9"/>
  </w:num>
  <w:num w:numId="10">
    <w:abstractNumId w:val="4"/>
  </w:num>
  <w:num w:numId="11">
    <w:abstractNumId w:val="26"/>
  </w:num>
  <w:num w:numId="12">
    <w:abstractNumId w:val="14"/>
  </w:num>
  <w:num w:numId="13">
    <w:abstractNumId w:val="23"/>
  </w:num>
  <w:num w:numId="14">
    <w:abstractNumId w:val="11"/>
  </w:num>
  <w:num w:numId="15">
    <w:abstractNumId w:val="2"/>
  </w:num>
  <w:num w:numId="16">
    <w:abstractNumId w:val="12"/>
  </w:num>
  <w:num w:numId="17">
    <w:abstractNumId w:val="28"/>
  </w:num>
  <w:num w:numId="18">
    <w:abstractNumId w:val="31"/>
  </w:num>
  <w:num w:numId="19">
    <w:abstractNumId w:val="30"/>
  </w:num>
  <w:num w:numId="20">
    <w:abstractNumId w:val="40"/>
  </w:num>
  <w:num w:numId="21">
    <w:abstractNumId w:val="5"/>
  </w:num>
  <w:num w:numId="22">
    <w:abstractNumId w:val="25"/>
  </w:num>
  <w:num w:numId="23">
    <w:abstractNumId w:val="38"/>
  </w:num>
  <w:num w:numId="24">
    <w:abstractNumId w:val="1"/>
  </w:num>
  <w:num w:numId="25">
    <w:abstractNumId w:val="16"/>
  </w:num>
  <w:num w:numId="26">
    <w:abstractNumId w:val="24"/>
  </w:num>
  <w:num w:numId="27">
    <w:abstractNumId w:val="3"/>
  </w:num>
  <w:num w:numId="28">
    <w:abstractNumId w:val="19"/>
  </w:num>
  <w:num w:numId="29">
    <w:abstractNumId w:val="7"/>
  </w:num>
  <w:num w:numId="30">
    <w:abstractNumId w:val="32"/>
  </w:num>
  <w:num w:numId="31">
    <w:abstractNumId w:val="27"/>
  </w:num>
  <w:num w:numId="32">
    <w:abstractNumId w:val="10"/>
  </w:num>
  <w:num w:numId="33">
    <w:abstractNumId w:val="13"/>
  </w:num>
  <w:num w:numId="34">
    <w:abstractNumId w:val="17"/>
  </w:num>
  <w:num w:numId="35">
    <w:abstractNumId w:val="34"/>
  </w:num>
  <w:num w:numId="36">
    <w:abstractNumId w:val="37"/>
  </w:num>
  <w:num w:numId="37">
    <w:abstractNumId w:val="22"/>
  </w:num>
  <w:num w:numId="38">
    <w:abstractNumId w:val="35"/>
  </w:num>
  <w:num w:numId="39">
    <w:abstractNumId w:val="6"/>
  </w:num>
  <w:num w:numId="40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624"/>
  <w:characterSpacingControl w:val="doNotCompress"/>
  <w:footnotePr>
    <w:pos w:val="beneathText"/>
    <w:numFmt w:val="chicago"/>
    <w:numStart w:val="3"/>
    <w:numRestart w:val="continuous"/>
    <w:footnote w:id="-1"/>
    <w:footnote w:id="0"/>
  </w:footnotePr>
  <w:endnotePr>
    <w:pos w:val="docEnd"/>
    <w:numFmt w:val="decimal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7">
    <w:name w:val="Heading 1 Char"/>
    <w:basedOn w:val="956"/>
    <w:link w:val="953"/>
    <w:uiPriority w:val="9"/>
    <w:rPr>
      <w:rFonts w:ascii="Arial" w:hAnsi="Arial" w:eastAsia="Arial" w:cs="Arial"/>
      <w:sz w:val="40"/>
      <w:szCs w:val="40"/>
    </w:rPr>
  </w:style>
  <w:style w:type="character" w:styleId="788">
    <w:name w:val="Heading 2 Char"/>
    <w:basedOn w:val="956"/>
    <w:link w:val="954"/>
    <w:uiPriority w:val="9"/>
    <w:rPr>
      <w:rFonts w:ascii="Arial" w:hAnsi="Arial" w:eastAsia="Arial" w:cs="Arial"/>
      <w:sz w:val="34"/>
    </w:rPr>
  </w:style>
  <w:style w:type="character" w:styleId="789">
    <w:name w:val="Heading 3 Char"/>
    <w:basedOn w:val="956"/>
    <w:link w:val="955"/>
    <w:uiPriority w:val="9"/>
    <w:rPr>
      <w:rFonts w:ascii="Arial" w:hAnsi="Arial" w:eastAsia="Arial" w:cs="Arial"/>
      <w:sz w:val="30"/>
      <w:szCs w:val="30"/>
    </w:rPr>
  </w:style>
  <w:style w:type="paragraph" w:styleId="790">
    <w:name w:val="Heading 4"/>
    <w:basedOn w:val="952"/>
    <w:next w:val="952"/>
    <w:link w:val="7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1">
    <w:name w:val="Heading 4 Char"/>
    <w:basedOn w:val="956"/>
    <w:link w:val="790"/>
    <w:uiPriority w:val="9"/>
    <w:rPr>
      <w:rFonts w:ascii="Arial" w:hAnsi="Arial" w:eastAsia="Arial" w:cs="Arial"/>
      <w:b/>
      <w:bCs/>
      <w:sz w:val="26"/>
      <w:szCs w:val="26"/>
    </w:rPr>
  </w:style>
  <w:style w:type="paragraph" w:styleId="792">
    <w:name w:val="Heading 5"/>
    <w:basedOn w:val="952"/>
    <w:next w:val="952"/>
    <w:link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3">
    <w:name w:val="Heading 5 Char"/>
    <w:basedOn w:val="956"/>
    <w:link w:val="792"/>
    <w:uiPriority w:val="9"/>
    <w:rPr>
      <w:rFonts w:ascii="Arial" w:hAnsi="Arial" w:eastAsia="Arial" w:cs="Arial"/>
      <w:b/>
      <w:bCs/>
      <w:sz w:val="24"/>
      <w:szCs w:val="24"/>
    </w:rPr>
  </w:style>
  <w:style w:type="paragraph" w:styleId="794">
    <w:name w:val="Heading 6"/>
    <w:basedOn w:val="952"/>
    <w:next w:val="952"/>
    <w:link w:val="7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5">
    <w:name w:val="Heading 6 Char"/>
    <w:basedOn w:val="956"/>
    <w:link w:val="794"/>
    <w:uiPriority w:val="9"/>
    <w:rPr>
      <w:rFonts w:ascii="Arial" w:hAnsi="Arial" w:eastAsia="Arial" w:cs="Arial"/>
      <w:b/>
      <w:bCs/>
      <w:sz w:val="22"/>
      <w:szCs w:val="22"/>
    </w:rPr>
  </w:style>
  <w:style w:type="paragraph" w:styleId="796">
    <w:name w:val="Heading 7"/>
    <w:basedOn w:val="952"/>
    <w:next w:val="952"/>
    <w:link w:val="7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7 Char"/>
    <w:basedOn w:val="956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8">
    <w:name w:val="Heading 8"/>
    <w:basedOn w:val="952"/>
    <w:next w:val="952"/>
    <w:link w:val="7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9">
    <w:name w:val="Heading 8 Char"/>
    <w:basedOn w:val="956"/>
    <w:link w:val="798"/>
    <w:uiPriority w:val="9"/>
    <w:rPr>
      <w:rFonts w:ascii="Arial" w:hAnsi="Arial" w:eastAsia="Arial" w:cs="Arial"/>
      <w:i/>
      <w:iCs/>
      <w:sz w:val="22"/>
      <w:szCs w:val="22"/>
    </w:rPr>
  </w:style>
  <w:style w:type="paragraph" w:styleId="800">
    <w:name w:val="Heading 9"/>
    <w:basedOn w:val="952"/>
    <w:next w:val="952"/>
    <w:link w:val="8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>
    <w:name w:val="Heading 9 Char"/>
    <w:basedOn w:val="956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802">
    <w:name w:val="Title"/>
    <w:basedOn w:val="952"/>
    <w:next w:val="952"/>
    <w:link w:val="8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3">
    <w:name w:val="Title Char"/>
    <w:basedOn w:val="956"/>
    <w:link w:val="802"/>
    <w:uiPriority w:val="10"/>
    <w:rPr>
      <w:sz w:val="48"/>
      <w:szCs w:val="48"/>
    </w:rPr>
  </w:style>
  <w:style w:type="paragraph" w:styleId="804">
    <w:name w:val="Subtitle"/>
    <w:basedOn w:val="952"/>
    <w:next w:val="952"/>
    <w:link w:val="805"/>
    <w:uiPriority w:val="11"/>
    <w:qFormat/>
    <w:pPr>
      <w:spacing w:before="200" w:after="200"/>
    </w:pPr>
    <w:rPr>
      <w:sz w:val="24"/>
      <w:szCs w:val="24"/>
    </w:rPr>
  </w:style>
  <w:style w:type="character" w:styleId="805">
    <w:name w:val="Subtitle Char"/>
    <w:basedOn w:val="956"/>
    <w:link w:val="804"/>
    <w:uiPriority w:val="11"/>
    <w:rPr>
      <w:sz w:val="24"/>
      <w:szCs w:val="24"/>
    </w:rPr>
  </w:style>
  <w:style w:type="paragraph" w:styleId="806">
    <w:name w:val="Quote"/>
    <w:basedOn w:val="952"/>
    <w:next w:val="952"/>
    <w:link w:val="807"/>
    <w:uiPriority w:val="29"/>
    <w:qFormat/>
    <w:pPr>
      <w:ind w:left="720" w:right="720"/>
    </w:pPr>
    <w:rPr>
      <w:i/>
    </w:rPr>
  </w:style>
  <w:style w:type="character" w:styleId="807">
    <w:name w:val="Quote Char"/>
    <w:link w:val="806"/>
    <w:uiPriority w:val="29"/>
    <w:rPr>
      <w:i/>
    </w:rPr>
  </w:style>
  <w:style w:type="paragraph" w:styleId="808">
    <w:name w:val="Intense Quote"/>
    <w:basedOn w:val="952"/>
    <w:next w:val="952"/>
    <w:link w:val="8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9">
    <w:name w:val="Intense Quote Char"/>
    <w:link w:val="808"/>
    <w:uiPriority w:val="30"/>
    <w:rPr>
      <w:i/>
    </w:rPr>
  </w:style>
  <w:style w:type="character" w:styleId="810">
    <w:name w:val="Header Char"/>
    <w:basedOn w:val="956"/>
    <w:link w:val="966"/>
    <w:uiPriority w:val="99"/>
  </w:style>
  <w:style w:type="character" w:styleId="811">
    <w:name w:val="Footer Char"/>
    <w:basedOn w:val="956"/>
    <w:link w:val="969"/>
    <w:uiPriority w:val="99"/>
  </w:style>
  <w:style w:type="paragraph" w:styleId="812">
    <w:name w:val="Caption"/>
    <w:basedOn w:val="952"/>
    <w:next w:val="9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3">
    <w:name w:val="Caption Char"/>
    <w:basedOn w:val="812"/>
    <w:link w:val="969"/>
    <w:uiPriority w:val="99"/>
  </w:style>
  <w:style w:type="table" w:styleId="814">
    <w:name w:val="Table Grid Light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>
    <w:name w:val="Plain Table 1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2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>
    <w:name w:val="Plain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8">
    <w:name w:val="Plain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Plain Table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0">
    <w:name w:val="Grid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2">
    <w:name w:val="Grid Table 4 - Accent 1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3">
    <w:name w:val="Grid Table 4 - Accent 2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4">
    <w:name w:val="Grid Table 4 - Accent 3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5">
    <w:name w:val="Grid Table 4 - Accent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6">
    <w:name w:val="Grid Table 4 - Accent 5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7">
    <w:name w:val="Grid Table 4 - Accent 6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8">
    <w:name w:val="Grid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9">
    <w:name w:val="Grid Table 5 Dark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1">
    <w:name w:val="Grid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2">
    <w:name w:val="Grid Table 5 Dark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5">
    <w:name w:val="Grid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6">
    <w:name w:val="Grid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7">
    <w:name w:val="Grid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8">
    <w:name w:val="Grid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9">
    <w:name w:val="Grid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0">
    <w:name w:val="Grid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2">
    <w:name w:val="Grid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7">
    <w:name w:val="List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8">
    <w:name w:val="List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9">
    <w:name w:val="List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0">
    <w:name w:val="List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1">
    <w:name w:val="List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2">
    <w:name w:val="List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3">
    <w:name w:val="List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5">
    <w:name w:val="List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6">
    <w:name w:val="List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7">
    <w:name w:val="List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8">
    <w:name w:val="List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9">
    <w:name w:val="List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0">
    <w:name w:val="List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1">
    <w:name w:val="List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2">
    <w:name w:val="List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3">
    <w:name w:val="List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4">
    <w:name w:val="List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5">
    <w:name w:val="List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6">
    <w:name w:val="List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7">
    <w:name w:val="List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8">
    <w:name w:val="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9">
    <w:name w:val="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0">
    <w:name w:val="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1">
    <w:name w:val="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2">
    <w:name w:val="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3">
    <w:name w:val="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4">
    <w:name w:val="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5">
    <w:name w:val="Bordered &amp; 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6">
    <w:name w:val="Bordered &amp; 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7">
    <w:name w:val="Bordered &amp; 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8">
    <w:name w:val="Bordered &amp; 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9">
    <w:name w:val="Bordered &amp; 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0">
    <w:name w:val="Bordered &amp; 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1">
    <w:name w:val="Bordered &amp; 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2">
    <w:name w:val="Bordered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3">
    <w:name w:val="Bordered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4">
    <w:name w:val="Bordered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5">
    <w:name w:val="Bordered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6">
    <w:name w:val="Bordered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7">
    <w:name w:val="Bordered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8">
    <w:name w:val="Bordered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9">
    <w:name w:val="Footnote Text Char"/>
    <w:link w:val="977"/>
    <w:uiPriority w:val="99"/>
    <w:rPr>
      <w:sz w:val="18"/>
    </w:rPr>
  </w:style>
  <w:style w:type="character" w:styleId="940">
    <w:name w:val="Endnote Text Char"/>
    <w:link w:val="994"/>
    <w:uiPriority w:val="99"/>
    <w:rPr>
      <w:sz w:val="20"/>
    </w:rPr>
  </w:style>
  <w:style w:type="paragraph" w:styleId="941">
    <w:name w:val="toc 1"/>
    <w:basedOn w:val="952"/>
    <w:next w:val="952"/>
    <w:uiPriority w:val="39"/>
    <w:unhideWhenUsed/>
    <w:pPr>
      <w:ind w:left="0" w:right="0" w:firstLine="0"/>
      <w:spacing w:after="57"/>
    </w:pPr>
  </w:style>
  <w:style w:type="paragraph" w:styleId="942">
    <w:name w:val="toc 2"/>
    <w:basedOn w:val="952"/>
    <w:next w:val="952"/>
    <w:uiPriority w:val="39"/>
    <w:unhideWhenUsed/>
    <w:pPr>
      <w:ind w:left="283" w:right="0" w:firstLine="0"/>
      <w:spacing w:after="57"/>
    </w:pPr>
  </w:style>
  <w:style w:type="paragraph" w:styleId="943">
    <w:name w:val="toc 3"/>
    <w:basedOn w:val="952"/>
    <w:next w:val="952"/>
    <w:uiPriority w:val="39"/>
    <w:unhideWhenUsed/>
    <w:pPr>
      <w:ind w:left="567" w:right="0" w:firstLine="0"/>
      <w:spacing w:after="57"/>
    </w:pPr>
  </w:style>
  <w:style w:type="paragraph" w:styleId="944">
    <w:name w:val="toc 4"/>
    <w:basedOn w:val="952"/>
    <w:next w:val="952"/>
    <w:uiPriority w:val="39"/>
    <w:unhideWhenUsed/>
    <w:pPr>
      <w:ind w:left="850" w:right="0" w:firstLine="0"/>
      <w:spacing w:after="57"/>
    </w:pPr>
  </w:style>
  <w:style w:type="paragraph" w:styleId="945">
    <w:name w:val="toc 5"/>
    <w:basedOn w:val="952"/>
    <w:next w:val="952"/>
    <w:uiPriority w:val="39"/>
    <w:unhideWhenUsed/>
    <w:pPr>
      <w:ind w:left="1134" w:right="0" w:firstLine="0"/>
      <w:spacing w:after="57"/>
    </w:pPr>
  </w:style>
  <w:style w:type="paragraph" w:styleId="946">
    <w:name w:val="toc 6"/>
    <w:basedOn w:val="952"/>
    <w:next w:val="952"/>
    <w:uiPriority w:val="39"/>
    <w:unhideWhenUsed/>
    <w:pPr>
      <w:ind w:left="1417" w:right="0" w:firstLine="0"/>
      <w:spacing w:after="57"/>
    </w:pPr>
  </w:style>
  <w:style w:type="paragraph" w:styleId="947">
    <w:name w:val="toc 7"/>
    <w:basedOn w:val="952"/>
    <w:next w:val="952"/>
    <w:uiPriority w:val="39"/>
    <w:unhideWhenUsed/>
    <w:pPr>
      <w:ind w:left="1701" w:right="0" w:firstLine="0"/>
      <w:spacing w:after="57"/>
    </w:pPr>
  </w:style>
  <w:style w:type="paragraph" w:styleId="948">
    <w:name w:val="toc 8"/>
    <w:basedOn w:val="952"/>
    <w:next w:val="952"/>
    <w:uiPriority w:val="39"/>
    <w:unhideWhenUsed/>
    <w:pPr>
      <w:ind w:left="1984" w:right="0" w:firstLine="0"/>
      <w:spacing w:after="57"/>
    </w:pPr>
  </w:style>
  <w:style w:type="paragraph" w:styleId="949">
    <w:name w:val="toc 9"/>
    <w:basedOn w:val="952"/>
    <w:next w:val="952"/>
    <w:uiPriority w:val="39"/>
    <w:unhideWhenUsed/>
    <w:pPr>
      <w:ind w:left="2268" w:right="0" w:firstLine="0"/>
      <w:spacing w:after="57"/>
    </w:pPr>
  </w:style>
  <w:style w:type="paragraph" w:styleId="950">
    <w:name w:val="TOC Heading"/>
    <w:uiPriority w:val="39"/>
    <w:unhideWhenUsed/>
  </w:style>
  <w:style w:type="paragraph" w:styleId="951">
    <w:name w:val="table of figures"/>
    <w:basedOn w:val="952"/>
    <w:next w:val="952"/>
    <w:uiPriority w:val="99"/>
    <w:unhideWhenUsed/>
    <w:pPr>
      <w:spacing w:after="0" w:afterAutospacing="0"/>
    </w:pPr>
  </w:style>
  <w:style w:type="paragraph" w:styleId="952" w:default="1">
    <w:name w:val="Normal"/>
    <w:qFormat/>
  </w:style>
  <w:style w:type="paragraph" w:styleId="953">
    <w:name w:val="Heading 1"/>
    <w:basedOn w:val="952"/>
    <w:next w:val="952"/>
    <w:link w:val="993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954">
    <w:name w:val="Heading 2"/>
    <w:basedOn w:val="952"/>
    <w:next w:val="952"/>
    <w:link w:val="972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55">
    <w:name w:val="Heading 3"/>
    <w:basedOn w:val="952"/>
    <w:next w:val="952"/>
    <w:link w:val="982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956" w:default="1">
    <w:name w:val="Default Paragraph Font"/>
    <w:uiPriority w:val="1"/>
    <w:semiHidden/>
    <w:unhideWhenUsed/>
  </w:style>
  <w:style w:type="table" w:styleId="9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8" w:default="1">
    <w:name w:val="No List"/>
    <w:uiPriority w:val="99"/>
    <w:semiHidden/>
    <w:unhideWhenUsed/>
  </w:style>
  <w:style w:type="paragraph" w:styleId="959" w:customStyle="1">
    <w:name w:val="Block Quotation"/>
    <w:basedOn w:val="952"/>
    <w:pPr>
      <w:ind w:left="1320" w:right="955"/>
      <w:jc w:val="both"/>
      <w:widowControl w:val="off"/>
    </w:pPr>
    <w:rPr>
      <w:sz w:val="26"/>
    </w:rPr>
  </w:style>
  <w:style w:type="table" w:styleId="960">
    <w:name w:val="Table Grid"/>
    <w:basedOn w:val="95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1" w:customStyle="1">
    <w:name w:val="Standard"/>
    <w:rPr>
      <w:rFonts w:eastAsia="SimSun" w:cs="Mangal"/>
      <w:sz w:val="24"/>
      <w:szCs w:val="24"/>
      <w:lang w:eastAsia="zh-CN" w:bidi="hi-IN"/>
    </w:rPr>
  </w:style>
  <w:style w:type="paragraph" w:styleId="962" w:customStyle="1">
    <w:name w:val="ConsPlusNormal"/>
    <w:link w:val="991"/>
    <w:pPr>
      <w:widowControl w:val="off"/>
    </w:pPr>
    <w:rPr>
      <w:rFonts w:ascii="Arial" w:hAnsi="Arial" w:cs="Arial"/>
      <w:lang w:bidi="hi-IN"/>
    </w:rPr>
  </w:style>
  <w:style w:type="paragraph" w:styleId="963">
    <w:name w:val="Balloon Text"/>
    <w:basedOn w:val="952"/>
    <w:link w:val="964"/>
    <w:rPr>
      <w:rFonts w:ascii="Tahoma" w:hAnsi="Tahoma"/>
      <w:sz w:val="16"/>
      <w:szCs w:val="16"/>
    </w:rPr>
  </w:style>
  <w:style w:type="character" w:styleId="964" w:customStyle="1">
    <w:name w:val="Текст выноски Знак"/>
    <w:link w:val="963"/>
    <w:rPr>
      <w:rFonts w:ascii="Tahoma" w:hAnsi="Tahoma" w:cs="Tahoma"/>
      <w:sz w:val="16"/>
      <w:szCs w:val="16"/>
    </w:rPr>
  </w:style>
  <w:style w:type="paragraph" w:styleId="965">
    <w:name w:val="List Paragraph"/>
    <w:basedOn w:val="961"/>
    <w:uiPriority w:val="34"/>
    <w:qFormat/>
    <w:pPr>
      <w:ind w:left="720"/>
    </w:pPr>
  </w:style>
  <w:style w:type="paragraph" w:styleId="966">
    <w:name w:val="Header"/>
    <w:basedOn w:val="961"/>
    <w:link w:val="967"/>
    <w:uiPriority w:val="99"/>
    <w:pPr>
      <w:tabs>
        <w:tab w:val="center" w:pos="4677" w:leader="none"/>
        <w:tab w:val="right" w:pos="9355" w:leader="none"/>
      </w:tabs>
      <w:suppressLineNumbers/>
    </w:pPr>
  </w:style>
  <w:style w:type="character" w:styleId="967" w:customStyle="1">
    <w:name w:val="Верхний колонтитул Знак"/>
    <w:link w:val="966"/>
    <w:uiPriority w:val="99"/>
    <w:rPr>
      <w:rFonts w:eastAsia="SimSun" w:cs="Mangal"/>
      <w:sz w:val="24"/>
      <w:szCs w:val="24"/>
      <w:lang w:eastAsia="zh-CN" w:bidi="hi-IN"/>
    </w:rPr>
  </w:style>
  <w:style w:type="paragraph" w:styleId="968">
    <w:name w:val="No Spacing"/>
    <w:uiPriority w:val="1"/>
    <w:qFormat/>
    <w:rPr>
      <w:rFonts w:ascii="Calibri" w:hAnsi="Calibri" w:eastAsia="Calibri"/>
      <w:sz w:val="22"/>
      <w:szCs w:val="22"/>
      <w:lang w:eastAsia="zh-CN"/>
    </w:rPr>
  </w:style>
  <w:style w:type="paragraph" w:styleId="969">
    <w:name w:val="Footer"/>
    <w:basedOn w:val="952"/>
    <w:link w:val="970"/>
    <w:pPr>
      <w:tabs>
        <w:tab w:val="center" w:pos="4677" w:leader="none"/>
        <w:tab w:val="right" w:pos="9355" w:leader="none"/>
      </w:tabs>
    </w:pPr>
  </w:style>
  <w:style w:type="character" w:styleId="970" w:customStyle="1">
    <w:name w:val="Нижний колонтитул Знак"/>
    <w:basedOn w:val="956"/>
    <w:link w:val="969"/>
  </w:style>
  <w:style w:type="character" w:styleId="971" w:customStyle="1">
    <w:name w:val="Font Style25"/>
    <w:uiPriority w:val="99"/>
    <w:rPr>
      <w:rFonts w:ascii="Times New Roman" w:hAnsi="Times New Roman" w:cs="Times New Roman"/>
      <w:sz w:val="24"/>
      <w:szCs w:val="24"/>
    </w:rPr>
  </w:style>
  <w:style w:type="character" w:styleId="972" w:customStyle="1">
    <w:name w:val="Заголовок 2 Знак"/>
    <w:link w:val="954"/>
    <w:rPr>
      <w:rFonts w:ascii="Arial" w:hAnsi="Arial" w:cs="Arial"/>
      <w:b/>
      <w:bCs/>
      <w:i/>
      <w:iCs/>
      <w:sz w:val="28"/>
      <w:szCs w:val="28"/>
    </w:rPr>
  </w:style>
  <w:style w:type="paragraph" w:styleId="973" w:customStyle="1">
    <w:name w:val="Style13"/>
    <w:basedOn w:val="952"/>
    <w:pPr>
      <w:jc w:val="center"/>
      <w:widowControl w:val="off"/>
    </w:pPr>
    <w:rPr>
      <w:sz w:val="24"/>
      <w:szCs w:val="24"/>
    </w:rPr>
  </w:style>
  <w:style w:type="character" w:styleId="974" w:customStyle="1">
    <w:name w:val="Font Style83"/>
    <w:uiPriority w:val="99"/>
    <w:rPr>
      <w:rFonts w:ascii="Times New Roman" w:hAnsi="Times New Roman" w:cs="Times New Roman"/>
      <w:sz w:val="28"/>
      <w:szCs w:val="28"/>
    </w:rPr>
  </w:style>
  <w:style w:type="paragraph" w:styleId="975">
    <w:name w:val="Normal (Web)"/>
    <w:basedOn w:val="952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976" w:customStyle="1">
    <w:name w:val="Font Style90"/>
    <w:rPr>
      <w:rFonts w:ascii="Times New Roman" w:hAnsi="Times New Roman" w:cs="Times New Roman"/>
      <w:spacing w:val="-10"/>
      <w:sz w:val="24"/>
      <w:szCs w:val="24"/>
    </w:rPr>
  </w:style>
  <w:style w:type="paragraph" w:styleId="977">
    <w:name w:val="footnote text"/>
    <w:basedOn w:val="952"/>
    <w:link w:val="978"/>
  </w:style>
  <w:style w:type="character" w:styleId="978" w:customStyle="1">
    <w:name w:val="Текст сноски Знак"/>
    <w:basedOn w:val="956"/>
    <w:link w:val="977"/>
  </w:style>
  <w:style w:type="character" w:styleId="979">
    <w:name w:val="footnote reference"/>
    <w:rPr>
      <w:vertAlign w:val="superscript"/>
    </w:rPr>
  </w:style>
  <w:style w:type="character" w:styleId="980">
    <w:name w:val="page number"/>
  </w:style>
  <w:style w:type="paragraph" w:styleId="981" w:customStyle="1">
    <w:name w:val="Style18"/>
    <w:basedOn w:val="952"/>
    <w:pPr>
      <w:jc w:val="both"/>
      <w:widowControl w:val="off"/>
    </w:pPr>
    <w:rPr>
      <w:sz w:val="24"/>
      <w:szCs w:val="24"/>
    </w:rPr>
  </w:style>
  <w:style w:type="character" w:styleId="982" w:customStyle="1">
    <w:name w:val="Заголовок 3 Знак"/>
    <w:link w:val="955"/>
    <w:rPr>
      <w:rFonts w:ascii="Cambria" w:hAnsi="Cambria" w:eastAsia="Times New Roman" w:cs="Times New Roman"/>
      <w:b/>
      <w:bCs/>
      <w:sz w:val="26"/>
      <w:szCs w:val="26"/>
    </w:rPr>
  </w:style>
  <w:style w:type="paragraph" w:styleId="983" w:customStyle="1">
    <w:name w:val="Style5"/>
    <w:basedOn w:val="952"/>
    <w:pPr>
      <w:ind w:firstLine="676"/>
      <w:jc w:val="both"/>
      <w:spacing w:line="319" w:lineRule="exact"/>
      <w:widowControl w:val="off"/>
    </w:pPr>
    <w:rPr>
      <w:sz w:val="24"/>
      <w:szCs w:val="24"/>
    </w:rPr>
  </w:style>
  <w:style w:type="character" w:styleId="984">
    <w:name w:val="annotation reference"/>
    <w:rPr>
      <w:sz w:val="16"/>
      <w:szCs w:val="16"/>
    </w:rPr>
  </w:style>
  <w:style w:type="paragraph" w:styleId="985">
    <w:name w:val="annotation text"/>
    <w:basedOn w:val="952"/>
    <w:link w:val="986"/>
  </w:style>
  <w:style w:type="character" w:styleId="986" w:customStyle="1">
    <w:name w:val="Текст примечания Знак"/>
    <w:basedOn w:val="956"/>
    <w:link w:val="985"/>
  </w:style>
  <w:style w:type="paragraph" w:styleId="987">
    <w:name w:val="annotation subject"/>
    <w:basedOn w:val="985"/>
    <w:next w:val="985"/>
    <w:link w:val="988"/>
    <w:rPr>
      <w:b/>
      <w:bCs/>
    </w:rPr>
  </w:style>
  <w:style w:type="character" w:styleId="988" w:customStyle="1">
    <w:name w:val="Тема примечания Знак"/>
    <w:link w:val="987"/>
    <w:rPr>
      <w:b/>
      <w:bCs/>
    </w:rPr>
  </w:style>
  <w:style w:type="paragraph" w:styleId="989" w:customStyle="1">
    <w:name w:val="ConsPlusTitle"/>
    <w:uiPriority w:val="99"/>
    <w:rPr>
      <w:rFonts w:eastAsia="Calibri"/>
      <w:b/>
      <w:bCs/>
      <w:lang w:eastAsia="en-US"/>
    </w:rPr>
  </w:style>
  <w:style w:type="character" w:styleId="990">
    <w:name w:val="Hyperlink"/>
    <w:rPr>
      <w:color w:val="0000ff"/>
      <w:u w:val="single"/>
    </w:rPr>
  </w:style>
  <w:style w:type="character" w:styleId="991" w:customStyle="1">
    <w:name w:val="ConsPlusNormal Знак"/>
    <w:link w:val="962"/>
    <w:rPr>
      <w:rFonts w:ascii="Arial" w:hAnsi="Arial" w:cs="Arial"/>
      <w:lang w:bidi="hi-IN"/>
    </w:rPr>
  </w:style>
  <w:style w:type="character" w:styleId="992">
    <w:name w:val="FollowedHyperlink"/>
    <w:rPr>
      <w:color w:val="800080"/>
      <w:u w:val="single"/>
    </w:rPr>
  </w:style>
  <w:style w:type="character" w:styleId="993" w:customStyle="1">
    <w:name w:val="Заголовок 1 Знак"/>
    <w:link w:val="953"/>
    <w:rPr>
      <w:rFonts w:ascii="Cambria" w:hAnsi="Cambria" w:eastAsia="Times New Roman" w:cs="Times New Roman"/>
      <w:b/>
      <w:bCs/>
      <w:sz w:val="32"/>
      <w:szCs w:val="32"/>
    </w:rPr>
  </w:style>
  <w:style w:type="paragraph" w:styleId="994">
    <w:name w:val="endnote text"/>
    <w:basedOn w:val="952"/>
    <w:link w:val="995"/>
  </w:style>
  <w:style w:type="character" w:styleId="995" w:customStyle="1">
    <w:name w:val="Текст концевой сноски Знак"/>
    <w:basedOn w:val="956"/>
    <w:link w:val="994"/>
  </w:style>
  <w:style w:type="character" w:styleId="996">
    <w:name w:val="endnote reference"/>
    <w:basedOn w:val="956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4894-B7F8-4C06-8DAB-8AE546C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moso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 № 2</dc:title>
  <dc:creator>user</dc:creator>
  <cp:revision>44</cp:revision>
  <dcterms:created xsi:type="dcterms:W3CDTF">2020-04-08T07:22:00Z</dcterms:created>
  <dcterms:modified xsi:type="dcterms:W3CDTF">2023-05-29T07:13:19Z</dcterms:modified>
</cp:coreProperties>
</file>