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</w:pPr>
      <w:r/>
      <w:r/>
    </w:p>
    <w:p>
      <w:pPr>
        <w:pStyle w:val="628"/>
        <w:ind w:right="27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Уважаем</w:t>
      </w:r>
      <w:r>
        <w:rPr>
          <w:b/>
          <w:bCs/>
          <w:szCs w:val="28"/>
        </w:rPr>
        <w:t xml:space="preserve">ый участник оборота молочной продукции</w:t>
      </w:r>
      <w:r>
        <w:rPr>
          <w:b/>
          <w:bCs/>
          <w:szCs w:val="28"/>
        </w:rPr>
        <w:t xml:space="preserve">!</w:t>
      </w:r>
      <w:r>
        <w:rPr>
          <w:b/>
          <w:bCs/>
          <w:szCs w:val="28"/>
        </w:rPr>
      </w:r>
      <w:r>
        <w:rPr>
          <w:b/>
          <w:bCs/>
        </w:rPr>
      </w:r>
    </w:p>
    <w:p>
      <w:pPr>
        <w:pStyle w:val="628"/>
        <w:ind w:right="-144"/>
        <w:jc w:val="center"/>
        <w:rPr>
          <w:szCs w:val="28"/>
        </w:rPr>
      </w:pPr>
      <w:r>
        <w:rPr>
          <w:szCs w:val="28"/>
        </w:rPr>
      </w:r>
      <w:r/>
    </w:p>
    <w:p>
      <w:pPr>
        <w:pStyle w:val="629"/>
        <w:ind w:right="-142" w:firstLine="709"/>
        <w:jc w:val="both"/>
        <w:spacing w:after="0" w:line="440" w:lineRule="exact"/>
        <w:rPr>
          <w:spacing w:val="1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Приморское межрегиональное управление Россельхознадзора представляет рекомендации по алгоритму действий хозяйствующими субъектами в случаях </w:t>
      </w:r>
      <w:r>
        <w:rPr>
          <w:b/>
          <w:bCs/>
          <w:color w:val="000000" w:themeColor="text1"/>
          <w:sz w:val="28"/>
          <w:szCs w:val="28"/>
        </w:rPr>
        <w:t xml:space="preserve">списания просроченной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молочной</w:t>
      </w:r>
      <w:r>
        <w:rPr>
          <w:b/>
          <w:bCs/>
          <w:color w:val="000000" w:themeColor="text1"/>
          <w:spacing w:val="70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продукции</w:t>
      </w:r>
      <w:r>
        <w:rPr>
          <w:b w:val="0"/>
          <w:bCs w:val="0"/>
          <w:spacing w:val="1"/>
          <w:sz w:val="28"/>
          <w:szCs w:val="28"/>
        </w:rPr>
        <w:t xml:space="preserve"> в</w:t>
      </w:r>
      <w:r>
        <w:rPr>
          <w:spacing w:val="1"/>
          <w:sz w:val="28"/>
          <w:szCs w:val="28"/>
        </w:rPr>
        <w:t xml:space="preserve"> Федеральной государственной информационной системе в области ветеринарии компоненте «Меркурий» (далее – ФГИС «Меркурий»). </w:t>
      </w:r>
      <w:r/>
    </w:p>
    <w:p>
      <w:pPr>
        <w:pStyle w:val="629"/>
        <w:ind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Согласно постановлению Правительства Российской Федерации                      от 07 октября 2020 года № 1612 «Об утверждении Положения о порядке изъятия из обращения, проведения экспертизы, временного хранения, утилизации или уничтожения некачественных и  (или) опасных пищевых продуктов, материалов и изделий, контактирующих с пищевыми продуктами» (далее – Постановление РФ № 1612), а также пункту 1 статьи 18 Технического регламента Таможенного союза ТР ТС 021/2011»О безопасности пищевой продукции» пищевая продукция, не соответствующая требованиям настоящего технического  регламента и (или) технических регламентов Таможенного союза подлежит утилизации или уничтожению.</w:t>
      </w:r>
      <w:r>
        <w:rPr>
          <w:sz w:val="28"/>
          <w:szCs w:val="28"/>
        </w:rPr>
      </w:r>
    </w:p>
    <w:p>
      <w:pPr>
        <w:pStyle w:val="629"/>
        <w:ind w:right="-142" w:firstLine="709"/>
        <w:jc w:val="both"/>
        <w:spacing w:after="0" w:line="4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ФГИС «Меркурий» располагает функцией создания транспортной «Транзакции» для перемещения пищевой продукции в место утилизации или уничтожения. Обязательно при заполнении форм транзакции следует указывать причину перемещения - «некачественный груз».</w:t>
      </w:r>
      <w:r>
        <w:rPr>
          <w:sz w:val="28"/>
          <w:szCs w:val="28"/>
          <w:highlight w:val="none"/>
        </w:rPr>
      </w:r>
    </w:p>
    <w:p>
      <w:pPr>
        <w:pStyle w:val="629"/>
        <w:ind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  <w:highlight w:val="none"/>
        </w:rPr>
        <w:t xml:space="preserve">Порядок оформления ВСД, если продукция</w:t>
      </w:r>
      <w:r>
        <w:rPr>
          <w:sz w:val="28"/>
          <w:szCs w:val="28"/>
        </w:rPr>
        <w:t xml:space="preserve"> с истекшим сроком годности перемещается на утилизирующее предприятие:</w:t>
      </w:r>
      <w:r>
        <w:rPr>
          <w:sz w:val="28"/>
          <w:szCs w:val="28"/>
        </w:rPr>
      </w:r>
    </w:p>
    <w:p>
      <w:pPr>
        <w:pStyle w:val="629"/>
        <w:numPr>
          <w:ilvl w:val="0"/>
          <w:numId w:val="2"/>
        </w:numPr>
        <w:ind w:left="0" w:right="-142" w:firstLine="709"/>
        <w:jc w:val="both"/>
        <w:spacing w:after="0" w:line="4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создать транспортную транзакцию (например: «перевозка со сменой владельца», «перевозка без смены владельца»);</w:t>
      </w:r>
      <w:r>
        <w:rPr>
          <w:sz w:val="28"/>
          <w:szCs w:val="28"/>
          <w:highlight w:val="none"/>
        </w:rPr>
      </w:r>
    </w:p>
    <w:p>
      <w:pPr>
        <w:pStyle w:val="629"/>
        <w:numPr>
          <w:ilvl w:val="0"/>
          <w:numId w:val="2"/>
        </w:numPr>
        <w:ind w:left="0" w:right="-142" w:firstLine="709"/>
        <w:jc w:val="both"/>
        <w:spacing w:after="0" w:line="4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указать место переработки/ утилизации/ уничтожения/ захоронения/ обезвреживания, установить отметку в поле «Некачественный груз»;  </w:t>
      </w:r>
      <w:r>
        <w:rPr>
          <w:sz w:val="28"/>
          <w:szCs w:val="28"/>
          <w:highlight w:val="none"/>
        </w:rPr>
      </w:r>
    </w:p>
    <w:p>
      <w:pPr>
        <w:pStyle w:val="629"/>
        <w:numPr>
          <w:ilvl w:val="0"/>
          <w:numId w:val="2"/>
        </w:numPr>
        <w:ind w:left="0" w:right="-142" w:firstLine="709"/>
        <w:jc w:val="both"/>
        <w:spacing w:after="0" w:line="4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выбрать из представленного списка «Цель» (например: «для утилизации», «переработка», «предназначенные и направляемые для захоронения», «предназначенные и направляемые для обезвреживания», «предназначенные и направляемые для уничтожения» и т.п.).</w:t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случае если такая продукция не перемещается на утилизирующее предприятие, а уничтожается посредством собственных мощностей хозяйствующего субъекта, то необходимо списать объем продукции с помощью операции «Управление» в разделе «Инвентаризация».</w:t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Необходимо отметить, что согласно пункту 15 Постановления РФ                    № 1612 уничтожение некачественных и (или) опасных пищевых продуктов, материалов и изделий, контактирующих с пищевыми продуктами, осуществляется любым техническим доступным способом с соблюдением требований нормативных и технических документов по охране окружающей среды.</w:t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Порядок инвентаризации посредством ФГИС «Меркурий»:</w:t>
      </w:r>
      <w:r>
        <w:rPr>
          <w:sz w:val="28"/>
          <w:szCs w:val="28"/>
          <w:highlight w:val="none"/>
        </w:rPr>
      </w:r>
    </w:p>
    <w:p>
      <w:pPr>
        <w:pStyle w:val="629"/>
        <w:numPr>
          <w:ilvl w:val="0"/>
          <w:numId w:val="3"/>
        </w:numPr>
        <w:ind w:left="0" w:right="-142" w:firstLine="709"/>
        <w:jc w:val="both"/>
        <w:spacing w:after="0" w:line="4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Перейти на вкладку «Инвентаризация» и нажать «Добавить». Откроется окно «Добавление заявки на инвентаризацию». В некм нужно указать дату проведения и ответственное лицо. После этого нажать «Сохранить»;</w:t>
      </w:r>
      <w:r>
        <w:rPr>
          <w:sz w:val="28"/>
          <w:szCs w:val="28"/>
          <w:highlight w:val="none"/>
        </w:rPr>
      </w:r>
    </w:p>
    <w:p>
      <w:pPr>
        <w:pStyle w:val="629"/>
        <w:numPr>
          <w:ilvl w:val="0"/>
          <w:numId w:val="3"/>
        </w:numPr>
        <w:ind w:left="0" w:right="-142" w:firstLine="709"/>
        <w:jc w:val="both"/>
        <w:spacing w:after="0" w:line="4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 открывшейся форме заявки на инвентаризацию указываются выявленные несоответствия и выполняются следующие действия: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/>
      <w:r>
        <w:rPr>
          <w:rFonts w:hint="default" w:ascii="Andale Mono" w:hAnsi="Andale Mono" w:eastAsia="Andale Mono" w:cs="Andale Mono"/>
          <w:sz w:val="28"/>
          <w:szCs w:val="28"/>
          <w:highlight w:val="none"/>
        </w:rPr>
        <w:t xml:space="preserve">‧</w:t>
      </w:r>
      <w:r/>
      <w:r>
        <w:rPr>
          <w:sz w:val="28"/>
          <w:szCs w:val="28"/>
          <w:highlight w:val="none"/>
        </w:rPr>
        <w:t xml:space="preserve"> выбираем операцию «Удаление» в блоке общих данных;</w:t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/>
      <w:r>
        <w:rPr>
          <w:rFonts w:hint="default" w:ascii="Andale Mono" w:hAnsi="Andale Mono" w:eastAsia="Andale Mono" w:cs="Andale Mono"/>
          <w:sz w:val="28"/>
          <w:szCs w:val="28"/>
          <w:highlight w:val="none"/>
        </w:rPr>
        <w:t xml:space="preserve">‧</w:t>
      </w:r>
      <w:r>
        <w:rPr>
          <w:sz w:val="28"/>
          <w:szCs w:val="28"/>
          <w:highlight w:val="none"/>
        </w:rPr>
        <w:t xml:space="preserve"> указываем конкретный тип продукции;</w:t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/>
      <w:r>
        <w:rPr>
          <w:rFonts w:hint="default" w:ascii="Andale Mono" w:hAnsi="Andale Mono" w:eastAsia="Andale Mono" w:cs="Andale Mono"/>
          <w:sz w:val="28"/>
          <w:szCs w:val="28"/>
          <w:highlight w:val="none"/>
        </w:rPr>
        <w:t xml:space="preserve">‧</w:t>
      </w:r>
      <w:r>
        <w:rPr>
          <w:sz w:val="28"/>
          <w:szCs w:val="28"/>
          <w:highlight w:val="none"/>
        </w:rPr>
        <w:t xml:space="preserve"> открываем список продукции, нажав на пиктограмму «лупа»;</w:t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/>
      <w:r>
        <w:rPr>
          <w:rFonts w:hint="default" w:ascii="Andale Mono" w:hAnsi="Andale Mono" w:eastAsia="Andale Mono" w:cs="Andale Mono"/>
          <w:sz w:val="28"/>
          <w:szCs w:val="28"/>
          <w:highlight w:val="none"/>
        </w:rPr>
        <w:t xml:space="preserve">‧</w:t>
      </w:r>
      <w:r/>
      <w:r>
        <w:rPr>
          <w:sz w:val="28"/>
          <w:szCs w:val="28"/>
          <w:highlight w:val="none"/>
        </w:rPr>
        <w:t xml:space="preserve"> отмечаем запись, которую необходимо отредактировать или удалить;</w:t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b/>
          <w:bCs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hint="default" w:ascii="Andale Mono" w:hAnsi="Andale Mono" w:eastAsia="Andale Mono" w:cs="Andale Mono"/>
          <w:sz w:val="28"/>
          <w:szCs w:val="28"/>
          <w:highlight w:val="none"/>
        </w:rPr>
        <w:t xml:space="preserve">‧</w:t>
      </w:r>
      <w:r>
        <w:rPr>
          <w:sz w:val="28"/>
          <w:szCs w:val="28"/>
          <w:highlight w:val="none"/>
        </w:rPr>
        <w:t xml:space="preserve"> </w:t>
      </w:r>
      <w:r>
        <w:rPr>
          <w:b/>
          <w:bCs/>
          <w:sz w:val="28"/>
          <w:szCs w:val="28"/>
          <w:highlight w:val="none"/>
        </w:rPr>
        <w:t xml:space="preserve">указываем причину «Удаления»;</w:t>
      </w:r>
      <w:r>
        <w:rPr>
          <w:b/>
          <w:bCs/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/>
      <w:r>
        <w:rPr>
          <w:rFonts w:hint="default" w:ascii="Andale Mono" w:hAnsi="Andale Mono" w:eastAsia="Andale Mono" w:cs="Andale Mono"/>
          <w:sz w:val="28"/>
          <w:szCs w:val="28"/>
          <w:highlight w:val="none"/>
        </w:rPr>
        <w:t xml:space="preserve">‧</w:t>
      </w:r>
      <w:r/>
      <w:r>
        <w:rPr>
          <w:sz w:val="28"/>
          <w:szCs w:val="28"/>
          <w:highlight w:val="none"/>
        </w:rPr>
        <w:t xml:space="preserve"> нажимаем кнопку «Сохранить».</w:t>
      </w:r>
      <w:r>
        <w:rPr>
          <w:sz w:val="28"/>
          <w:szCs w:val="28"/>
          <w:highlight w:val="none"/>
        </w:rPr>
      </w:r>
    </w:p>
    <w:p>
      <w:pPr>
        <w:pStyle w:val="629"/>
        <w:numPr>
          <w:ilvl w:val="0"/>
          <w:numId w:val="4"/>
        </w:numPr>
        <w:ind w:left="0" w:right="-142" w:firstLine="709"/>
        <w:jc w:val="both"/>
        <w:spacing w:after="0" w:line="4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результате данных действий информационная система перенаправит пользователя на страницу «Просмотр заявки на инвентаризацию», далее «ознакомиться с внесенными сведениями», если больше никаких изменений вносить не требуется, нажимаем на вкладку «Оформить» для завершения операции.</w:t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29"/>
        <w:ind w:left="0" w:right="-142" w:firstLine="709"/>
        <w:jc w:val="both"/>
        <w:spacing w:after="0" w:line="440" w:lineRule="exact"/>
        <w:rPr>
          <w:sz w:val="28"/>
          <w:szCs w:val="28"/>
        </w:rPr>
      </w:pPr>
      <w:r>
        <w:rPr>
          <w:spacing w:val="1"/>
          <w:sz w:val="28"/>
          <w:szCs w:val="28"/>
          <w:highlight w:val="none"/>
        </w:rPr>
      </w:r>
      <w:r>
        <w:rPr>
          <w:spacing w:val="1"/>
          <w:sz w:val="28"/>
          <w:szCs w:val="28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397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Mono">
    <w:panose1 w:val="020B05090000000000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5</w:t>
    </w:r>
    <w:r>
      <w:fldChar w:fldCharType="end"/>
    </w:r>
    <w:r/>
  </w:p>
  <w:p>
    <w:pPr>
      <w:pStyle w:val="631"/>
    </w:pPr>
    <w:r/>
    <w:r/>
  </w:p>
  <w:p>
    <w:pPr>
      <w:pStyle w:val="6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2"/>
    <w:next w:val="62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2"/>
    <w:next w:val="62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2"/>
    <w:next w:val="62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next w:val="622"/>
    <w:link w:val="622"/>
    <w:qFormat/>
    <w:rPr>
      <w:sz w:val="24"/>
      <w:szCs w:val="24"/>
      <w:lang w:val="ru-RU" w:eastAsia="ru-RU" w:bidi="ar-SA"/>
    </w:rPr>
  </w:style>
  <w:style w:type="character" w:styleId="623">
    <w:name w:val="Основной шрифт абзаца"/>
    <w:next w:val="623"/>
    <w:link w:val="622"/>
    <w:semiHidden/>
  </w:style>
  <w:style w:type="table" w:styleId="624">
    <w:name w:val="Обычная таблица"/>
    <w:next w:val="624"/>
    <w:link w:val="622"/>
    <w:semiHidden/>
    <w:tblPr/>
  </w:style>
  <w:style w:type="numbering" w:styleId="625">
    <w:name w:val="Нет списка"/>
    <w:next w:val="625"/>
    <w:link w:val="622"/>
    <w:semiHidden/>
  </w:style>
  <w:style w:type="paragraph" w:styleId="626">
    <w:name w:val="Текст выноски"/>
    <w:basedOn w:val="622"/>
    <w:next w:val="626"/>
    <w:link w:val="622"/>
    <w:semiHidden/>
    <w:rPr>
      <w:rFonts w:ascii="Tahoma" w:hAnsi="Tahoma" w:cs="Tahoma"/>
      <w:sz w:val="16"/>
      <w:szCs w:val="16"/>
    </w:rPr>
  </w:style>
  <w:style w:type="character" w:styleId="627">
    <w:name w:val="Strong1"/>
    <w:next w:val="627"/>
    <w:link w:val="622"/>
    <w:rPr>
      <w:b/>
    </w:rPr>
  </w:style>
  <w:style w:type="paragraph" w:styleId="628">
    <w:name w:val="Основной текст с отступом"/>
    <w:basedOn w:val="622"/>
    <w:next w:val="628"/>
    <w:link w:val="638"/>
    <w:pPr>
      <w:ind w:firstLine="709"/>
      <w:jc w:val="both"/>
    </w:pPr>
    <w:rPr>
      <w:sz w:val="28"/>
      <w:szCs w:val="20"/>
    </w:rPr>
  </w:style>
  <w:style w:type="paragraph" w:styleId="629">
    <w:name w:val="Основной текст"/>
    <w:basedOn w:val="622"/>
    <w:next w:val="629"/>
    <w:link w:val="622"/>
    <w:pPr>
      <w:spacing w:after="120"/>
    </w:pPr>
  </w:style>
  <w:style w:type="table" w:styleId="630">
    <w:name w:val="Сетка таблицы"/>
    <w:basedOn w:val="624"/>
    <w:next w:val="630"/>
    <w:link w:val="622"/>
    <w:tblPr/>
  </w:style>
  <w:style w:type="paragraph" w:styleId="631">
    <w:name w:val="Верхний колонтитул"/>
    <w:basedOn w:val="622"/>
    <w:next w:val="631"/>
    <w:link w:val="632"/>
    <w:uiPriority w:val="99"/>
    <w:pPr>
      <w:tabs>
        <w:tab w:val="center" w:pos="4677" w:leader="none"/>
        <w:tab w:val="right" w:pos="9355" w:leader="none"/>
      </w:tabs>
    </w:pPr>
  </w:style>
  <w:style w:type="character" w:styleId="632">
    <w:name w:val="Верхний колонтитул Знак"/>
    <w:next w:val="632"/>
    <w:link w:val="631"/>
    <w:uiPriority w:val="99"/>
    <w:rPr>
      <w:sz w:val="24"/>
      <w:szCs w:val="24"/>
    </w:rPr>
  </w:style>
  <w:style w:type="paragraph" w:styleId="633">
    <w:name w:val="Нижний колонтитул"/>
    <w:basedOn w:val="622"/>
    <w:next w:val="633"/>
    <w:link w:val="634"/>
    <w:pPr>
      <w:tabs>
        <w:tab w:val="center" w:pos="4677" w:leader="none"/>
        <w:tab w:val="right" w:pos="9355" w:leader="none"/>
      </w:tabs>
    </w:pPr>
  </w:style>
  <w:style w:type="character" w:styleId="634">
    <w:name w:val="Нижний колонтитул Знак"/>
    <w:next w:val="634"/>
    <w:link w:val="633"/>
    <w:rPr>
      <w:sz w:val="24"/>
      <w:szCs w:val="24"/>
    </w:rPr>
  </w:style>
  <w:style w:type="character" w:styleId="635">
    <w:name w:val="Гиперссылка"/>
    <w:next w:val="635"/>
    <w:link w:val="622"/>
    <w:rPr>
      <w:color w:val="0000ff"/>
      <w:u w:val="single"/>
    </w:rPr>
  </w:style>
  <w:style w:type="paragraph" w:styleId="636">
    <w:name w:val="ConsPlusNormal"/>
    <w:next w:val="636"/>
    <w:link w:val="622"/>
    <w:pPr>
      <w:widowControl w:val="off"/>
    </w:pPr>
    <w:rPr>
      <w:sz w:val="28"/>
      <w:lang w:val="ru-RU" w:eastAsia="ru-RU" w:bidi="ar-SA"/>
    </w:rPr>
  </w:style>
  <w:style w:type="paragraph" w:styleId="637">
    <w:name w:val="ConsPlusTitle"/>
    <w:next w:val="637"/>
    <w:link w:val="622"/>
    <w:pPr>
      <w:widowControl w:val="off"/>
    </w:pPr>
    <w:rPr>
      <w:b/>
      <w:sz w:val="28"/>
      <w:lang w:val="ru-RU" w:eastAsia="ru-RU" w:bidi="ar-SA"/>
    </w:rPr>
  </w:style>
  <w:style w:type="character" w:styleId="638">
    <w:name w:val="Основной текст с отступом Знак"/>
    <w:next w:val="638"/>
    <w:link w:val="628"/>
    <w:rPr>
      <w:sz w:val="28"/>
    </w:rPr>
  </w:style>
  <w:style w:type="character" w:styleId="2078" w:default="1">
    <w:name w:val="Default Paragraph Font"/>
    <w:uiPriority w:val="1"/>
    <w:semiHidden/>
    <w:unhideWhenUsed/>
  </w:style>
  <w:style w:type="numbering" w:styleId="2079" w:default="1">
    <w:name w:val="No List"/>
    <w:uiPriority w:val="99"/>
    <w:semiHidden/>
    <w:unhideWhenUsed/>
  </w:style>
  <w:style w:type="table" w:styleId="20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21</cp:revision>
  <dcterms:created xsi:type="dcterms:W3CDTF">2020-02-04T02:33:00Z</dcterms:created>
  <dcterms:modified xsi:type="dcterms:W3CDTF">2023-04-17T07:08:57Z</dcterms:modified>
  <cp:version>917504</cp:version>
</cp:coreProperties>
</file>